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7" w:rsidRDefault="006C6D07" w:rsidP="00BA316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КОРРЕКЦИЯ ГЕМОДИНАМИЧЕСКИХ НАРУШЕНИЙ ПРИ ПРОВЕДЕНИИ ПРОДЛЕННЫХ МЕТОДИК ПОЧЕЧНО-ЗАМЕСТИТЕЛЬНОЙ ТЕРАПИИ С ПОМОЩЬЮ МАГНИТНОЙ ОБРАБОТКИ КРОВИ У ПАЦИЕНТОВ С СЕПСИСОМ И ПОЛИОРГАННОЙ ДИСФУНКЦИЕЙ</w:t>
      </w:r>
      <w:r w:rsidR="00FC4518" w:rsidRPr="004E3599">
        <w:rPr>
          <w:b/>
          <w:color w:val="000000"/>
          <w:szCs w:val="28"/>
        </w:rPr>
        <w:t xml:space="preserve"> </w:t>
      </w:r>
    </w:p>
    <w:p w:rsidR="00FC4518" w:rsidRPr="006C6D07" w:rsidRDefault="00FC4518" w:rsidP="00BA3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Якубцевич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Р.Э.</w:t>
      </w:r>
    </w:p>
    <w:p w:rsidR="002623AB" w:rsidRDefault="00FC4518" w:rsidP="00BA31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УО «Гродненский государственный медицинский университет»</w:t>
      </w:r>
      <w:r w:rsidR="002623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FC4518" w:rsidRPr="006C6D07" w:rsidRDefault="002623AB" w:rsidP="00BA31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Беларусь</w:t>
      </w:r>
    </w:p>
    <w:p w:rsidR="00FC4518" w:rsidRPr="006C6D07" w:rsidRDefault="00FC4518" w:rsidP="00BA3161">
      <w:pPr>
        <w:pStyle w:val="a5"/>
        <w:spacing w:after="0"/>
        <w:ind w:left="0"/>
        <w:jc w:val="both"/>
        <w:rPr>
          <w:color w:val="FF0000"/>
        </w:rPr>
      </w:pPr>
    </w:p>
    <w:p w:rsidR="00BD17BC" w:rsidRPr="006C6D07" w:rsidRDefault="00BD17BC" w:rsidP="006C6D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C6D07">
        <w:rPr>
          <w:b w:val="0"/>
          <w:color w:val="000000" w:themeColor="text1"/>
          <w:sz w:val="28"/>
          <w:szCs w:val="28"/>
        </w:rPr>
        <w:t>Нарушения гемодинамики при сепсисе имеют место в большинстве случаев его тяжелого течения. Известно, что на ранней стадии сепсиса (менее 6 часов от начала заболевания) может быть выявлена гиподинамия, проявляющаяся снижением сердечного выброса (</w:t>
      </w:r>
      <w:proofErr w:type="gramStart"/>
      <w:r w:rsidRPr="006C6D07">
        <w:rPr>
          <w:b w:val="0"/>
          <w:color w:val="000000" w:themeColor="text1"/>
          <w:sz w:val="28"/>
          <w:szCs w:val="28"/>
        </w:rPr>
        <w:t>СВ</w:t>
      </w:r>
      <w:proofErr w:type="gramEnd"/>
      <w:r w:rsidRPr="006C6D07">
        <w:rPr>
          <w:b w:val="0"/>
          <w:color w:val="000000" w:themeColor="text1"/>
          <w:sz w:val="28"/>
          <w:szCs w:val="28"/>
        </w:rPr>
        <w:t xml:space="preserve">) на фоне относительной или абсолютной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гиповолемии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лактат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>-ацидоза и уменьшения венозной сатурации [</w:t>
      </w:r>
      <w:r w:rsidR="00BA3161" w:rsidRPr="006C6D07">
        <w:rPr>
          <w:b w:val="0"/>
          <w:color w:val="000000" w:themeColor="text1"/>
          <w:sz w:val="28"/>
          <w:szCs w:val="28"/>
        </w:rPr>
        <w:t>1</w:t>
      </w:r>
      <w:r w:rsidRPr="006C6D07">
        <w:rPr>
          <w:b w:val="0"/>
          <w:color w:val="000000" w:themeColor="text1"/>
          <w:sz w:val="28"/>
          <w:szCs w:val="28"/>
        </w:rPr>
        <w:t xml:space="preserve">]. По мере компенсации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гиповолемии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быстро развивается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гипердинамия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кровообращения, выражающаяся в росте </w:t>
      </w:r>
      <w:proofErr w:type="gramStart"/>
      <w:r w:rsidRPr="006C6D07">
        <w:rPr>
          <w:b w:val="0"/>
          <w:color w:val="000000" w:themeColor="text1"/>
          <w:sz w:val="28"/>
          <w:szCs w:val="28"/>
        </w:rPr>
        <w:t>СВ</w:t>
      </w:r>
      <w:proofErr w:type="gramEnd"/>
      <w:r w:rsidRPr="006C6D07">
        <w:rPr>
          <w:b w:val="0"/>
          <w:color w:val="000000" w:themeColor="text1"/>
          <w:sz w:val="28"/>
          <w:szCs w:val="28"/>
        </w:rPr>
        <w:t xml:space="preserve"> на фоне резкого снижения ОПСС. Этот типичный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гемодинамичекий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профиль, как правило, сохраняется вплоть до разрешения сепсиса или смерти пациента [</w:t>
      </w:r>
      <w:r w:rsidR="00BA3161" w:rsidRPr="006C6D07">
        <w:rPr>
          <w:b w:val="0"/>
          <w:color w:val="000000" w:themeColor="text1"/>
          <w:sz w:val="28"/>
          <w:szCs w:val="28"/>
        </w:rPr>
        <w:t>5</w:t>
      </w:r>
      <w:r w:rsidRPr="006C6D07">
        <w:rPr>
          <w:b w:val="0"/>
          <w:color w:val="000000" w:themeColor="text1"/>
          <w:sz w:val="28"/>
          <w:szCs w:val="28"/>
        </w:rPr>
        <w:t xml:space="preserve">]. Когда избыточный уровень цитокинов, эндотоксина,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эйкосаноидов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и прочих агрессивных медиаторов воспаления достигает своих пиковых концентрации – это поражает органы и системы организма и проявляется развернутой клиникой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полиорганой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дисфункции. Его лечение сопровождается включением в комплекс мероприятий интенсивной терапии продленных методов почечно-заместительной терапии (ПЗТ) [</w:t>
      </w:r>
      <w:r w:rsidR="00BA3161" w:rsidRPr="006C6D07">
        <w:rPr>
          <w:b w:val="0"/>
          <w:color w:val="000000" w:themeColor="text1"/>
          <w:sz w:val="28"/>
          <w:szCs w:val="28"/>
        </w:rPr>
        <w:t>4, 6</w:t>
      </w:r>
      <w:r w:rsidRPr="006C6D07">
        <w:rPr>
          <w:b w:val="0"/>
          <w:color w:val="000000" w:themeColor="text1"/>
          <w:sz w:val="28"/>
          <w:szCs w:val="28"/>
        </w:rPr>
        <w:t xml:space="preserve">]. Использование больших объемов </w:t>
      </w:r>
      <w:proofErr w:type="spellStart"/>
      <w:r w:rsidRPr="006C6D07">
        <w:rPr>
          <w:b w:val="0"/>
          <w:color w:val="000000" w:themeColor="text1"/>
          <w:sz w:val="28"/>
          <w:szCs w:val="28"/>
        </w:rPr>
        <w:t>субституата</w:t>
      </w:r>
      <w:proofErr w:type="spellEnd"/>
      <w:r w:rsidRPr="006C6D07">
        <w:rPr>
          <w:b w:val="0"/>
          <w:color w:val="000000" w:themeColor="text1"/>
          <w:sz w:val="28"/>
          <w:szCs w:val="28"/>
        </w:rPr>
        <w:t xml:space="preserve"> при таких процедурах, исходная гемодинамическая нестабильность пациента, а также необходимость ультрафильтрации, а порой и высокообъемной, создают предпосылки к декомпенсации кровообращения во время сессий ПЗТ.</w:t>
      </w:r>
    </w:p>
    <w:p w:rsidR="00D46149" w:rsidRPr="006C6D07" w:rsidRDefault="00D46149" w:rsidP="006C6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Позитивные результаты в стабилизации гемодинамических расстрой</w:t>
      </w:r>
      <w:proofErr w:type="gram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и септическом шоке с помощью магнитной обработки крови были продемонстрированы в наших более ранних исследованиях [</w:t>
      </w:r>
      <w:r w:rsidR="00BA3161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]. По результатам исследований был получен Евразийский патент на изобретение [</w:t>
      </w:r>
      <w:r w:rsidR="00BA3161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6C6D07" w:rsidRDefault="00FC4518" w:rsidP="00FC45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C4518" w:rsidRPr="006C6D07" w:rsidRDefault="00FC4518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. Изучить в</w:t>
      </w:r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лияние магнитной обработки крови на некоторые параметры гемодинамики при проведении продленных методик почечно-заместительной терапии (ПЗТ) у пациентов с сепсисом и </w:t>
      </w:r>
      <w:proofErr w:type="spellStart"/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полиорганной</w:t>
      </w:r>
      <w:proofErr w:type="spellEnd"/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дисфункцией.</w:t>
      </w:r>
    </w:p>
    <w:p w:rsidR="006C6D07" w:rsidRDefault="00FC4518" w:rsidP="004A11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FC4518" w:rsidRPr="006C6D07" w:rsidRDefault="00FC4518" w:rsidP="006C6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методы.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разделе главы нами проанализированы параметры гемодинамики в 2-х группах пациентов с сепсисом различной этиологии, осложненном </w:t>
      </w:r>
      <w:proofErr w:type="spellStart"/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полиорганной</w:t>
      </w:r>
      <w:proofErr w:type="spellEnd"/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дисфункцией. 1 группу составили 18 пациентов, которым наряду с традиционной интенсивной терапией проводили сеансы ПЗТ (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CVVHF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CVVHDF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, 2 группу  - 15 пациентов, которым спустя 5-15 минут после подключения методик ПЗТ 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лечение включали  магнитную обработку крови.</w:t>
      </w:r>
      <w:proofErr w:type="gramEnd"/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процедуры экстракорпорального очищения крови проводились по общепринятым методикам. Воздействие магнитного поля на кровь осуществлялось с помощью аппарата 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2"/>
      </w:r>
      <w:proofErr w:type="spell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HemoSPOK</w:t>
      </w:r>
      <w:proofErr w:type="spell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2"/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(ОДО «</w:t>
      </w:r>
      <w:proofErr w:type="spell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Магномед</w:t>
      </w:r>
      <w:proofErr w:type="spell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», Беларусь). Для осуществления процедуры в зазор излучателя индуктора аппарата МОК помещалась система экстракорпорального контура во время проведения процедур</w:t>
      </w:r>
      <w:r w:rsidR="00901B0B"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ы ПЗТ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Кровь обрабатывали в момент ее циркуляции по системе. В это время на индуктор аппарата подавался пульсирующий ток с частотой 10 Гц. Каждый импульс характеризовался изменением тока по частоте от 60 до 200 Гц. Магнитная </w:t>
      </w:r>
      <w:proofErr w:type="gram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индукция</w:t>
      </w:r>
      <w:proofErr w:type="gram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создаваемая аппаратом между полюсами индуктора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составляла 140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1"/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мТл. Процедура МОК продолжалась 30 минут и проводилась ежедневно. </w:t>
      </w:r>
    </w:p>
    <w:p w:rsidR="004A1161" w:rsidRPr="006C6D07" w:rsidRDefault="004A1161" w:rsidP="004A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07">
        <w:rPr>
          <w:rFonts w:ascii="Times New Roman" w:hAnsi="Times New Roman" w:cs="Times New Roman"/>
          <w:sz w:val="28"/>
          <w:szCs w:val="28"/>
        </w:rPr>
        <w:t xml:space="preserve">В 18 случаях измерение среднего артериального давления (САД) </w:t>
      </w:r>
      <w:proofErr w:type="spellStart"/>
      <w:r w:rsidRPr="006C6D07">
        <w:rPr>
          <w:rFonts w:ascii="Times New Roman" w:hAnsi="Times New Roman" w:cs="Times New Roman"/>
          <w:sz w:val="28"/>
          <w:szCs w:val="28"/>
        </w:rPr>
        <w:t>проводиось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инвазивно с помощью аппарата </w:t>
      </w:r>
      <w:proofErr w:type="spellStart"/>
      <w:r w:rsidRPr="006C6D07">
        <w:rPr>
          <w:rFonts w:ascii="Times New Roman" w:hAnsi="Times New Roman" w:cs="Times New Roman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D07">
        <w:rPr>
          <w:rFonts w:ascii="Times New Roman" w:hAnsi="Times New Roman" w:cs="Times New Roman"/>
          <w:sz w:val="28"/>
          <w:szCs w:val="28"/>
          <w:lang w:val="en-US"/>
        </w:rPr>
        <w:t>Pulsion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, </w:t>
      </w:r>
      <w:r w:rsidRPr="006C6D07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6C6D07">
        <w:rPr>
          <w:rFonts w:ascii="Times New Roman" w:hAnsi="Times New Roman" w:cs="Times New Roman"/>
          <w:sz w:val="28"/>
          <w:szCs w:val="28"/>
        </w:rPr>
        <w:t xml:space="preserve">) в течение всей процедуры ПВВГДФ каждые 4-6 часов. Для проведения </w:t>
      </w:r>
      <w:proofErr w:type="spellStart"/>
      <w:r w:rsidRPr="006C6D07">
        <w:rPr>
          <w:rFonts w:ascii="Times New Roman" w:hAnsi="Times New Roman" w:cs="Times New Roman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мониторинга использовались стандартные одноразовые наборы, а также во всех случаях была пунктирована и катетеризирована </w:t>
      </w:r>
      <w:r w:rsidRPr="006C6D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D07">
        <w:rPr>
          <w:rFonts w:ascii="Times New Roman" w:hAnsi="Times New Roman" w:cs="Times New Roman"/>
          <w:sz w:val="28"/>
          <w:szCs w:val="28"/>
          <w:lang w:val="en-US"/>
        </w:rPr>
        <w:t>femoralis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. В 15 случаях оценка гемодинамики и </w:t>
      </w:r>
      <w:proofErr w:type="spellStart"/>
      <w:r w:rsidRPr="006C6D07">
        <w:rPr>
          <w:rFonts w:ascii="Times New Roman" w:hAnsi="Times New Roman" w:cs="Times New Roman"/>
          <w:sz w:val="28"/>
          <w:szCs w:val="28"/>
        </w:rPr>
        <w:t>гидробаланса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проводилась путем </w:t>
      </w:r>
      <w:proofErr w:type="spellStart"/>
      <w:r w:rsidRPr="006C6D07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измерения среднего АД (САД) и ЦВД с помощью монитора пациента «</w:t>
      </w:r>
      <w:proofErr w:type="spellStart"/>
      <w:r w:rsidRPr="006C6D07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D07">
        <w:rPr>
          <w:rFonts w:ascii="Times New Roman" w:hAnsi="Times New Roman" w:cs="Times New Roman"/>
          <w:sz w:val="28"/>
          <w:szCs w:val="28"/>
        </w:rPr>
        <w:t>IntelliVue</w:t>
      </w:r>
      <w:proofErr w:type="spellEnd"/>
      <w:r w:rsidRPr="006C6D07">
        <w:rPr>
          <w:rFonts w:ascii="Times New Roman" w:hAnsi="Times New Roman" w:cs="Times New Roman"/>
          <w:sz w:val="28"/>
          <w:szCs w:val="28"/>
        </w:rPr>
        <w:t xml:space="preserve"> MP40/50» (Германия). </w:t>
      </w:r>
    </w:p>
    <w:p w:rsidR="00FC4518" w:rsidRPr="006C6D07" w:rsidRDefault="00FC4518" w:rsidP="006C6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данные статистически обрабатывались с помощью программы «</w:t>
      </w:r>
      <w:proofErr w:type="spell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Statistica</w:t>
      </w:r>
      <w:proofErr w:type="spell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6.0» (</w:t>
      </w:r>
      <w:proofErr w:type="spell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Statsoft</w:t>
      </w:r>
      <w:proofErr w:type="spell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Inc</w:t>
      </w:r>
      <w:proofErr w:type="spell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US). С учётом размеров малой выборки, а также отсутствия нормального распределения в группах статистическую значимость результатов оценивали методом непараметрической статистики для независимых выборок – U-критерия Манна-Уитни, </w:t>
      </w:r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зависимых признаков – с помощью непараметрического критерия </w:t>
      </w:r>
      <w:proofErr w:type="spellStart"/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Вилкоксона</w:t>
      </w:r>
      <w:proofErr w:type="spellEnd"/>
      <w:r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Критический уровень статистической значимости принимали за </w:t>
      </w:r>
      <w:proofErr w:type="gramStart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>&lt; 0,05.</w:t>
      </w:r>
    </w:p>
    <w:p w:rsidR="006C6D07" w:rsidRDefault="00FC4518" w:rsidP="00CE63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C4518" w:rsidRDefault="00FC4518" w:rsidP="006C6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6D07" w:rsidRPr="006C6D07" w:rsidRDefault="006C6D07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сравнительном анализе динамики ключевого параметра гемодинамики – среднего артериального давления во время проведения 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CVVHF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CVVHDF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 отсутствие снижения артериального давления в течение всех этапов исследования как в группе с использованием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в группе, где такой мониторинг не проводился (см. рисунок). При исходном </w:t>
      </w:r>
      <w:proofErr w:type="gram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САД в группе с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88,6 (79;101) 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рт.с.т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в группе с МОК 83,1 (68;100)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=0,27165) на 6 часу его значения были максимально одинаковы (в группе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87,1 (79;99)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88,7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=0,128045) в группе МОК.</w:t>
      </w:r>
      <w:proofErr w:type="gram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12, 18 и 24 часу в группе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параметры САД были практически одинаковыми и имели значения соответственно 87,3 (78;98), 88,1 (81;97) и 88,3 (81;98)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группе, в которой в начале первого часа ПЗТ было использовано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омагничивание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крови, САД на 12 часу  имел тенденцию к росту и составил 93,8 (84;</w:t>
      </w:r>
      <w:proofErr w:type="gram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=0,27165). </w:t>
      </w:r>
      <w:proofErr w:type="gram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Достоверные различия этого параметра в сравнении с аналогичным этапом 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группы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PiCCO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место на 18 часу (96,0 (82;104)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=0,002345) и на 24 часу от начала процедуры (99,3 (88;108) мм </w:t>
      </w:r>
      <w:proofErr w:type="spellStart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6C6D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=0,002763).</w:t>
      </w:r>
      <w:proofErr w:type="gramEnd"/>
    </w:p>
    <w:p w:rsidR="00D66E3A" w:rsidRPr="006A43F5" w:rsidRDefault="00D66E3A" w:rsidP="00D6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3F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AB7ABA" wp14:editId="348FF29C">
            <wp:simplePos x="0" y="0"/>
            <wp:positionH relativeFrom="column">
              <wp:posOffset>586740</wp:posOffset>
            </wp:positionH>
            <wp:positionV relativeFrom="paragraph">
              <wp:posOffset>127635</wp:posOffset>
            </wp:positionV>
            <wp:extent cx="4514850" cy="2543175"/>
            <wp:effectExtent l="19050" t="0" r="19050" b="0"/>
            <wp:wrapTopAndBottom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Рисунок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Динамика САД при проведении 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CVVHF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CVVHDF</w:t>
      </w: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6E3A" w:rsidRPr="006A43F5" w:rsidRDefault="00D66E3A" w:rsidP="00D6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группе с </w:t>
      </w:r>
      <w:proofErr w:type="spellStart"/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PiCCO</w:t>
      </w:r>
      <w:proofErr w:type="spellEnd"/>
      <w:r w:rsidRPr="006A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МОК</w:t>
      </w:r>
    </w:p>
    <w:p w:rsidR="006C6D07" w:rsidRPr="006C6D07" w:rsidRDefault="006C6D07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D07" w:rsidRDefault="006C6D07" w:rsidP="006C6D07">
      <w:pPr>
        <w:pStyle w:val="a3"/>
        <w:ind w:firstLine="709"/>
        <w:jc w:val="both"/>
        <w:rPr>
          <w:color w:val="000000" w:themeColor="text1"/>
          <w:szCs w:val="28"/>
        </w:rPr>
      </w:pPr>
    </w:p>
    <w:p w:rsidR="00901B0B" w:rsidRPr="006C6D07" w:rsidRDefault="00901B0B" w:rsidP="006C6D07">
      <w:pPr>
        <w:pStyle w:val="a3"/>
        <w:ind w:firstLine="709"/>
        <w:jc w:val="both"/>
        <w:rPr>
          <w:color w:val="000000" w:themeColor="text1"/>
          <w:szCs w:val="28"/>
        </w:rPr>
      </w:pPr>
      <w:r w:rsidRPr="006C6D07">
        <w:rPr>
          <w:color w:val="000000" w:themeColor="text1"/>
          <w:szCs w:val="28"/>
        </w:rPr>
        <w:t xml:space="preserve">Динамика вариабельности САД и ЦВД в группах представлена в таблице. </w:t>
      </w:r>
    </w:p>
    <w:p w:rsidR="006C6D07" w:rsidRDefault="00901B0B" w:rsidP="006C6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D07">
        <w:rPr>
          <w:rFonts w:ascii="Times New Roman" w:hAnsi="Times New Roman" w:cs="Times New Roman"/>
          <w:sz w:val="28"/>
          <w:szCs w:val="28"/>
        </w:rPr>
        <w:t xml:space="preserve">Таблица. </w:t>
      </w:r>
    </w:p>
    <w:p w:rsidR="006C6D07" w:rsidRPr="006C6D07" w:rsidRDefault="00901B0B" w:rsidP="006C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07">
        <w:rPr>
          <w:rFonts w:ascii="Times New Roman" w:hAnsi="Times New Roman" w:cs="Times New Roman"/>
          <w:sz w:val="28"/>
          <w:szCs w:val="28"/>
        </w:rPr>
        <w:t xml:space="preserve">Динамика изменения среднего артериального давления (САД)  и ЦВД во время проведения продленных методов ПЗТ </w:t>
      </w:r>
      <w:proofErr w:type="gramStart"/>
      <w:r w:rsidRPr="006C6D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D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C6D07">
        <w:rPr>
          <w:rFonts w:ascii="Times New Roman" w:hAnsi="Times New Roman" w:cs="Times New Roman"/>
          <w:sz w:val="28"/>
          <w:szCs w:val="28"/>
        </w:rPr>
        <w:t>бе</w:t>
      </w:r>
      <w:r w:rsidR="00BA3161" w:rsidRPr="006C6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6D07">
        <w:rPr>
          <w:rFonts w:ascii="Times New Roman" w:hAnsi="Times New Roman" w:cs="Times New Roman"/>
          <w:sz w:val="28"/>
          <w:szCs w:val="28"/>
        </w:rPr>
        <w:t xml:space="preserve"> магнитной обработки крови.</w:t>
      </w:r>
    </w:p>
    <w:tbl>
      <w:tblPr>
        <w:tblW w:w="97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18"/>
        <w:gridCol w:w="1842"/>
        <w:gridCol w:w="1701"/>
      </w:tblGrid>
      <w:tr w:rsidR="00901B0B" w:rsidRPr="00901B0B" w:rsidTr="00E75099">
        <w:tc>
          <w:tcPr>
            <w:tcW w:w="1526" w:type="dxa"/>
            <w:vMerge w:val="restart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</w:t>
            </w: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59" w:type="dxa"/>
            <w:vMerge w:val="restart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исследо-вания</w:t>
            </w:r>
            <w:proofErr w:type="spellEnd"/>
            <w:proofErr w:type="gramEnd"/>
          </w:p>
        </w:tc>
        <w:tc>
          <w:tcPr>
            <w:tcW w:w="3119" w:type="dxa"/>
            <w:gridSpan w:val="2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МОК)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МОК)</w:t>
            </w:r>
          </w:p>
        </w:tc>
      </w:tr>
      <w:tr w:rsidR="00901B0B" w:rsidRPr="00901B0B" w:rsidTr="00E75099">
        <w:tc>
          <w:tcPr>
            <w:tcW w:w="1526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1B0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01B0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901B0B" w:rsidRPr="00901B0B" w:rsidTr="00E75099">
        <w:tc>
          <w:tcPr>
            <w:tcW w:w="1526" w:type="dxa"/>
            <w:vMerge w:val="restart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САД, 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 25;75)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85,38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(65,0; 102,0)</w:t>
            </w:r>
          </w:p>
        </w:tc>
        <w:tc>
          <w:tcPr>
            <w:tcW w:w="1418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83,07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(68,0; 100,0)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422477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6 часу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56,95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(40,0; 80,0)</w:t>
            </w: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(78,0; 102,0)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06319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12 часу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418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00006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42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001621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18 часу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,0; 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00006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000805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24 часу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418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000281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42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99,27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000655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000001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 w:val="restart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ЦВД, 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 xml:space="preserve"> 25;75)</w:t>
            </w:r>
          </w:p>
        </w:tc>
        <w:tc>
          <w:tcPr>
            <w:tcW w:w="1559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043228</w:t>
            </w: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6 часу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0,0)</w:t>
            </w:r>
          </w:p>
        </w:tc>
        <w:tc>
          <w:tcPr>
            <w:tcW w:w="1418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0,000852*</w:t>
            </w:r>
          </w:p>
        </w:tc>
        <w:tc>
          <w:tcPr>
            <w:tcW w:w="1842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0,003346*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062735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12 часу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0,0)</w:t>
            </w: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0,000748*</w:t>
            </w:r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0,000982*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72353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1B0B" w:rsidRPr="00901B0B" w:rsidTr="00E75099">
        <w:tc>
          <w:tcPr>
            <w:tcW w:w="1526" w:type="dxa"/>
            <w:vMerge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18 часу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9,0)</w:t>
            </w:r>
          </w:p>
        </w:tc>
        <w:tc>
          <w:tcPr>
            <w:tcW w:w="1418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0,000463*</w:t>
            </w:r>
          </w:p>
        </w:tc>
        <w:tc>
          <w:tcPr>
            <w:tcW w:w="1842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20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0,000805*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343854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901B0B" w:rsidRPr="00901B0B" w:rsidTr="00E75099">
        <w:tc>
          <w:tcPr>
            <w:tcW w:w="1526" w:type="dxa"/>
            <w:vMerge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B">
              <w:rPr>
                <w:rFonts w:ascii="Times New Roman" w:hAnsi="Times New Roman" w:cs="Times New Roman"/>
                <w:sz w:val="24"/>
                <w:szCs w:val="24"/>
              </w:rPr>
              <w:t>На 24 часу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9,0)</w:t>
            </w:r>
          </w:p>
        </w:tc>
        <w:tc>
          <w:tcPr>
            <w:tcW w:w="1418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0,000233*</w:t>
            </w:r>
          </w:p>
        </w:tc>
        <w:tc>
          <w:tcPr>
            <w:tcW w:w="1842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  <w:p w:rsidR="00901B0B" w:rsidRPr="00901B0B" w:rsidRDefault="00901B0B" w:rsidP="0090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,0; 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,0)</w:t>
            </w:r>
          </w:p>
        </w:tc>
        <w:tc>
          <w:tcPr>
            <w:tcW w:w="1701" w:type="dxa"/>
            <w:shd w:val="pct5" w:color="000000" w:fill="FFFFFF"/>
          </w:tcPr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0,000805*</w:t>
            </w:r>
          </w:p>
          <w:p w:rsidR="00901B0B" w:rsidRPr="00901B0B" w:rsidRDefault="00901B0B" w:rsidP="0090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172658</w:t>
            </w:r>
            <w:r w:rsidRPr="00901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</w:tbl>
    <w:p w:rsidR="00901B0B" w:rsidRPr="00901B0B" w:rsidRDefault="00901B0B" w:rsidP="0090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B">
        <w:rPr>
          <w:rFonts w:ascii="Times New Roman" w:hAnsi="Times New Roman" w:cs="Times New Roman"/>
          <w:sz w:val="24"/>
          <w:szCs w:val="24"/>
        </w:rPr>
        <w:t xml:space="preserve">* - </w:t>
      </w:r>
      <w:proofErr w:type="gramStart"/>
      <w:r w:rsidRPr="00901B0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01B0B">
        <w:rPr>
          <w:rFonts w:ascii="Times New Roman" w:hAnsi="Times New Roman" w:cs="Times New Roman"/>
          <w:sz w:val="24"/>
          <w:szCs w:val="24"/>
        </w:rPr>
        <w:t xml:space="preserve"> в сравнении с исходным этапом в группе </w:t>
      </w:r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(критерий </w:t>
      </w:r>
      <w:proofErr w:type="spellStart"/>
      <w:r w:rsidRPr="00901B0B">
        <w:rPr>
          <w:rFonts w:ascii="Times New Roman" w:eastAsia="Times New Roman" w:hAnsi="Times New Roman" w:cs="Times New Roman"/>
          <w:sz w:val="24"/>
          <w:szCs w:val="24"/>
        </w:rPr>
        <w:t>Вилкоксона</w:t>
      </w:r>
      <w:proofErr w:type="spellEnd"/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);       </w:t>
      </w:r>
    </w:p>
    <w:p w:rsidR="00901B0B" w:rsidRPr="00901B0B" w:rsidRDefault="00901B0B" w:rsidP="0090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B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901B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1B0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901B0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 w:rsidRPr="00901B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Pr="00901B0B">
        <w:rPr>
          <w:rFonts w:ascii="Times New Roman" w:hAnsi="Times New Roman" w:cs="Times New Roman"/>
          <w:sz w:val="24"/>
          <w:szCs w:val="24"/>
        </w:rPr>
        <w:t xml:space="preserve">аналогичному </w:t>
      </w:r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этапу лечения группы </w:t>
      </w:r>
      <w:r w:rsidRPr="00901B0B">
        <w:rPr>
          <w:rFonts w:ascii="Times New Roman" w:hAnsi="Times New Roman" w:cs="Times New Roman"/>
          <w:sz w:val="24"/>
          <w:szCs w:val="24"/>
        </w:rPr>
        <w:t>1</w:t>
      </w:r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 (критерий Манна-Уитни); выделенный жирным шрифтом </w:t>
      </w:r>
      <w:r w:rsidRPr="00901B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901B0B">
        <w:rPr>
          <w:rFonts w:ascii="Times New Roman" w:eastAsia="Times New Roman" w:hAnsi="Times New Roman" w:cs="Times New Roman"/>
          <w:sz w:val="24"/>
          <w:szCs w:val="24"/>
        </w:rPr>
        <w:t xml:space="preserve"> – различие достоверно</w:t>
      </w:r>
    </w:p>
    <w:p w:rsidR="00D66E3A" w:rsidRDefault="00D66E3A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3F5" w:rsidRPr="006C6D07" w:rsidRDefault="006A43F5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применение магнитной обработки крови без контроля скорости кровотока и объема ультрафильтрации может способствовать профилактике артериальной гипотензии и, напротив, ведет к повышению среднего артериального давления без повышения дозы вазопрессорной и инотропной поддержки.</w:t>
      </w:r>
    </w:p>
    <w:p w:rsidR="006A43F5" w:rsidRPr="006C6D07" w:rsidRDefault="00FC4518" w:rsidP="006C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3F5" w:rsidRPr="006C6D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="006A43F5"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рименение магнитной обработки крови  в течение первого часа </w:t>
      </w:r>
      <w:r w:rsidR="006A43F5"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CVVHF</w:t>
      </w:r>
      <w:r w:rsidR="006A43F5"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6A43F5"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CVVHDF</w:t>
      </w:r>
      <w:r w:rsidR="006A43F5" w:rsidRPr="006C6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контроля скорости кровотока и объема ультрафильтрации способствует профилактике артериальной гипотензии и ведет к повышению среднего артериального давления без повышения</w:t>
      </w:r>
      <w:r w:rsidR="006A43F5" w:rsidRPr="006C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дозы вазопрессорной и инотропной поддержки.</w:t>
      </w:r>
    </w:p>
    <w:p w:rsidR="00FC4518" w:rsidRPr="006C6D07" w:rsidRDefault="00FC4518" w:rsidP="00FC45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518" w:rsidRPr="006C6D07" w:rsidRDefault="00FC4518" w:rsidP="00FC4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Кузьков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, В. В. Инвазивный мониторинг гемодинамики в интенсивной терапии и анестезиологии / В. В.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Кузьков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>, М. Ю. Киров. ‒ Архангельск, ‒ 2008. ‒ 244 с.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C6D07">
        <w:rPr>
          <w:rFonts w:ascii="Times New Roman" w:hAnsi="Times New Roman"/>
          <w:color w:val="000000"/>
          <w:sz w:val="28"/>
          <w:szCs w:val="28"/>
        </w:rPr>
        <w:t xml:space="preserve">Спас, В. В. Возможности экстракорпоральной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аутогемомагнитотерапии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 в коррекции гемодинамических нарушений при септическом шоке / В. В. Спас, Р. Э.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Якубцевич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, К. М.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Дорохин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, И. А.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Шапель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, С. В. Плетнев // Материалы 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C6D07">
        <w:rPr>
          <w:rFonts w:ascii="Times New Roman" w:hAnsi="Times New Roman"/>
          <w:color w:val="000000"/>
          <w:sz w:val="28"/>
          <w:szCs w:val="28"/>
        </w:rPr>
        <w:t>-й Белорусской научно-практической конференции: «Проблемы разработки и внедрения в клиническую практику методов эфферентной терапии». ‒ 2003. ‒ С. 88‒89.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C6D07">
        <w:rPr>
          <w:rFonts w:ascii="Times New Roman" w:hAnsi="Times New Roman"/>
          <w:color w:val="000000"/>
          <w:sz w:val="28"/>
          <w:szCs w:val="28"/>
        </w:rPr>
        <w:t>Способ коррекции гемодинамики при септическом шоке</w:t>
      </w:r>
      <w:proofErr w:type="gramStart"/>
      <w:r w:rsidRPr="006C6D0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C6D07">
        <w:rPr>
          <w:rFonts w:ascii="Times New Roman" w:hAnsi="Times New Roman"/>
          <w:color w:val="000000"/>
          <w:sz w:val="28"/>
          <w:szCs w:val="28"/>
        </w:rPr>
        <w:t xml:space="preserve"> Евразийский пат. № 005256 / С. В. Плетнев, В. В. Спас, Р. Э.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Якубцевич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, К. М.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Дорохин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‒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>. 30.12.2004.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Du, C. Efficacies of Continuous High Volume Hemofiltration in Severe Sepsis Patients with Multiple Organ Dysfunction Syndrome / C. </w:t>
      </w:r>
      <w:r w:rsidRPr="006C6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 [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et al.] // </w:t>
      </w:r>
      <w:hyperlink r:id="rId8" w:tooltip="Zhonghua yi xue za zhi." w:history="1">
        <w:proofErr w:type="spellStart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Zhonghua</w:t>
        </w:r>
        <w:proofErr w:type="spellEnd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 xml:space="preserve"> Yi </w:t>
        </w:r>
        <w:proofErr w:type="spellStart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Xue</w:t>
        </w:r>
        <w:proofErr w:type="spellEnd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Za</w:t>
        </w:r>
        <w:proofErr w:type="spellEnd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6C6D0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Zhi</w:t>
        </w:r>
        <w:proofErr w:type="spellEnd"/>
      </w:hyperlink>
      <w:r w:rsidRPr="006C6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‒ 2015. ‒ Vol. 20, № 95. ‒ P. 210‒213.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Krishnagopalan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, S. Myocardial Dysfunction in the Patient with Sepsis / S.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Krishnagopalan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 [et al.] //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Curr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Opin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Crit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Care</w:t>
      </w:r>
      <w:r w:rsidRPr="006C6D07">
        <w:rPr>
          <w:rFonts w:ascii="Times New Roman" w:hAnsi="Times New Roman"/>
          <w:color w:val="000000"/>
          <w:sz w:val="28"/>
          <w:szCs w:val="28"/>
        </w:rPr>
        <w:t xml:space="preserve">. ‒ 2002. ‒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Vol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8. ‒ 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hAnsi="Times New Roman"/>
          <w:color w:val="000000"/>
          <w:sz w:val="28"/>
          <w:szCs w:val="28"/>
        </w:rPr>
        <w:t>. 376‒338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93E93" w:rsidRPr="006C6D07" w:rsidRDefault="00993E93" w:rsidP="00993E9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Martin-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Loeches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, I. Management of severe sepsis: advances, challenges and current status. / I. Martin-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Loeches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 xml:space="preserve">, M. M. Levy, A. Artigas // Drug Des.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Devel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Ther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– 2015. – </w:t>
      </w:r>
      <w:proofErr w:type="spellStart"/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Vol</w:t>
      </w:r>
      <w:proofErr w:type="spellEnd"/>
      <w:r w:rsidRPr="006C6D07">
        <w:rPr>
          <w:rFonts w:ascii="Times New Roman" w:hAnsi="Times New Roman"/>
          <w:color w:val="000000"/>
          <w:sz w:val="28"/>
          <w:szCs w:val="28"/>
        </w:rPr>
        <w:t xml:space="preserve">. 9, № 9. – 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C6D07">
        <w:rPr>
          <w:rFonts w:ascii="Times New Roman" w:hAnsi="Times New Roman"/>
          <w:color w:val="000000"/>
          <w:sz w:val="28"/>
          <w:szCs w:val="28"/>
        </w:rPr>
        <w:t>. 2079–2088</w:t>
      </w:r>
      <w:r w:rsidRPr="006C6D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4E3599" w:rsidRPr="006C6D07" w:rsidRDefault="004E3599" w:rsidP="00993E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345D5" w:rsidRPr="00993E93" w:rsidRDefault="007345D5" w:rsidP="00993E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45D5" w:rsidRPr="00993E93" w:rsidSect="0053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443"/>
    <w:multiLevelType w:val="hybridMultilevel"/>
    <w:tmpl w:val="34B4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889"/>
    <w:multiLevelType w:val="hybridMultilevel"/>
    <w:tmpl w:val="CCE04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665FE"/>
    <w:multiLevelType w:val="hybridMultilevel"/>
    <w:tmpl w:val="9548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D4B"/>
    <w:multiLevelType w:val="hybridMultilevel"/>
    <w:tmpl w:val="BB9C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599"/>
    <w:rsid w:val="002623AB"/>
    <w:rsid w:val="004A1161"/>
    <w:rsid w:val="004E3599"/>
    <w:rsid w:val="00536F1C"/>
    <w:rsid w:val="006A43F5"/>
    <w:rsid w:val="006C6D07"/>
    <w:rsid w:val="007345D5"/>
    <w:rsid w:val="00901B0B"/>
    <w:rsid w:val="00993E93"/>
    <w:rsid w:val="00BA3161"/>
    <w:rsid w:val="00BD17BC"/>
    <w:rsid w:val="00CE63B4"/>
    <w:rsid w:val="00D24A67"/>
    <w:rsid w:val="00D46149"/>
    <w:rsid w:val="00D66E3A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C"/>
  </w:style>
  <w:style w:type="paragraph" w:styleId="1">
    <w:name w:val="heading 1"/>
    <w:basedOn w:val="a"/>
    <w:link w:val="10"/>
    <w:uiPriority w:val="9"/>
    <w:qFormat/>
    <w:rsid w:val="00BD1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E359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FC451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C4518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nhideWhenUsed/>
    <w:rsid w:val="00FC4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518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FC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17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1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BD1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877033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PiCCO</c:v>
                </c:pt>
              </c:strCache>
            </c:strRef>
          </c:tx>
          <c:marker>
            <c:symbol val="diamond"/>
            <c:size val="10"/>
          </c:marker>
          <c:cat>
            <c:strRef>
              <c:f>Лист1!$A$2:$A$6</c:f>
              <c:strCache>
                <c:ptCount val="5"/>
                <c:pt idx="0">
                  <c:v>Исходный</c:v>
                </c:pt>
                <c:pt idx="1">
                  <c:v>На 6 часу</c:v>
                </c:pt>
                <c:pt idx="2">
                  <c:v>На 12 часу</c:v>
                </c:pt>
                <c:pt idx="3">
                  <c:v>На 18 часу</c:v>
                </c:pt>
                <c:pt idx="4">
                  <c:v>На 24 часу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88.6</c:v>
                </c:pt>
                <c:pt idx="1">
                  <c:v>87.1</c:v>
                </c:pt>
                <c:pt idx="2">
                  <c:v>87.3</c:v>
                </c:pt>
                <c:pt idx="3">
                  <c:v>88.1</c:v>
                </c:pt>
                <c:pt idx="4">
                  <c:v>88.3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 МОК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Исходный</c:v>
                </c:pt>
                <c:pt idx="1">
                  <c:v>На 6 часу</c:v>
                </c:pt>
                <c:pt idx="2">
                  <c:v>На 12 часу</c:v>
                </c:pt>
                <c:pt idx="3">
                  <c:v>На 18 часу</c:v>
                </c:pt>
                <c:pt idx="4">
                  <c:v>На 24 часу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83.07</c:v>
                </c:pt>
                <c:pt idx="1">
                  <c:v>88.669999999999987</c:v>
                </c:pt>
                <c:pt idx="2">
                  <c:v>93.8</c:v>
                </c:pt>
                <c:pt idx="3">
                  <c:v>96</c:v>
                </c:pt>
                <c:pt idx="4">
                  <c:v>99.27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59264"/>
        <c:axId val="24573056"/>
      </c:lineChart>
      <c:catAx>
        <c:axId val="89659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Этапы исследования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573056"/>
        <c:crosses val="autoZero"/>
        <c:auto val="1"/>
        <c:lblAlgn val="ctr"/>
        <c:lblOffset val="100"/>
        <c:noMultiLvlLbl val="0"/>
      </c:catAx>
      <c:valAx>
        <c:axId val="24573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Среднее артериальное давление, мм рт. ст.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65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220F52-D866-4A76-BBB6-01723393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Зав. отделением Экстракарпоральных методов</cp:lastModifiedBy>
  <cp:revision>13</cp:revision>
  <dcterms:created xsi:type="dcterms:W3CDTF">2017-04-10T06:42:00Z</dcterms:created>
  <dcterms:modified xsi:type="dcterms:W3CDTF">2017-08-15T07:08:00Z</dcterms:modified>
</cp:coreProperties>
</file>