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11" w:rsidRDefault="00EB3111" w:rsidP="0086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ВАРИАБЕЛЬНОСТЬ УРОВНЕЙ ПРОВОСПАЛИТЕЛЬНЫХ ЦИТОКИНОВ ПРИ ПРОВЕДЕНИИ РАЗЛИЧНЫХ МЕТОДОВ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ЭКСТРАКОРПОРАЛЬНОЙ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ДЕТОКСИКАЦИИ У ПАЦИЕНТОВ С СЕПСИСОМ</w:t>
      </w:r>
    </w:p>
    <w:p w:rsidR="00862CD8" w:rsidRPr="00EB3111" w:rsidRDefault="00862CD8" w:rsidP="00862C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3111">
        <w:rPr>
          <w:rFonts w:ascii="Times New Roman" w:eastAsia="Times New Roman" w:hAnsi="Times New Roman" w:cs="Times New Roman"/>
          <w:color w:val="000000"/>
          <w:sz w:val="28"/>
          <w:szCs w:val="28"/>
        </w:rPr>
        <w:t>Якубцевич</w:t>
      </w:r>
      <w:proofErr w:type="spellEnd"/>
      <w:r w:rsidRPr="00EB3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Р.Э., Спас В.В.</w:t>
      </w:r>
    </w:p>
    <w:p w:rsidR="00373411" w:rsidRDefault="00862CD8" w:rsidP="00862C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B311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УО «Гродненский государственный медицинский университет»</w:t>
      </w:r>
      <w:r w:rsidR="0037341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862CD8" w:rsidRPr="00EB3111" w:rsidRDefault="00373411" w:rsidP="00862C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г.Гродно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Беларусь</w:t>
      </w:r>
    </w:p>
    <w:p w:rsidR="008C4B9D" w:rsidRPr="00EB3111" w:rsidRDefault="008C4B9D" w:rsidP="00BC6767">
      <w:pPr>
        <w:pStyle w:val="a3"/>
        <w:spacing w:after="0" w:line="360" w:lineRule="exact"/>
        <w:ind w:left="0"/>
        <w:jc w:val="both"/>
      </w:pPr>
    </w:p>
    <w:p w:rsidR="008C4B9D" w:rsidRPr="00EB3111" w:rsidRDefault="008C4B9D" w:rsidP="00EB31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Сепсис – тяжелое заболевание с высокой летальностью, которое характеризуется синдромом системного воспалительного ответа (ССВО) на инфекцию. В последние годы выявлено, что системный воспалительный ответ наблюдается у многих госпитализированных пациентов без признаков сепсиса или даже без наличия инфекции. Поэтому, сепсис  стали определять как </w:t>
      </w:r>
      <w:proofErr w:type="spellStart"/>
      <w:r w:rsidRPr="00EB3111">
        <w:rPr>
          <w:rFonts w:ascii="Times New Roman" w:hAnsi="Times New Roman" w:cs="Times New Roman"/>
          <w:color w:val="000000"/>
          <w:sz w:val="28"/>
          <w:szCs w:val="28"/>
        </w:rPr>
        <w:t>жизнеугрожающую</w:t>
      </w:r>
      <w:proofErr w:type="spellEnd"/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органную дисфункцию, вызванную </w:t>
      </w:r>
      <w:proofErr w:type="spellStart"/>
      <w:r w:rsidRPr="00EB3111">
        <w:rPr>
          <w:rFonts w:ascii="Times New Roman" w:hAnsi="Times New Roman" w:cs="Times New Roman"/>
          <w:color w:val="000000"/>
          <w:sz w:val="28"/>
          <w:szCs w:val="28"/>
        </w:rPr>
        <w:t>дизрегуляцией</w:t>
      </w:r>
      <w:proofErr w:type="spellEnd"/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ответа </w:t>
      </w:r>
      <w:proofErr w:type="spellStart"/>
      <w:r w:rsidRPr="00EB3111">
        <w:rPr>
          <w:rFonts w:ascii="Times New Roman" w:hAnsi="Times New Roman" w:cs="Times New Roman"/>
          <w:color w:val="000000"/>
          <w:sz w:val="28"/>
          <w:szCs w:val="28"/>
        </w:rPr>
        <w:t>макроорганизма</w:t>
      </w:r>
      <w:proofErr w:type="spellEnd"/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на инфекцию [</w:t>
      </w:r>
      <w:r w:rsidR="002361D5" w:rsidRPr="00EB311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]. По данным </w:t>
      </w:r>
      <w:r w:rsidRPr="00EB3111">
        <w:rPr>
          <w:rFonts w:ascii="Times New Roman" w:hAnsi="Times New Roman" w:cs="Times New Roman"/>
          <w:color w:val="000000"/>
          <w:sz w:val="28"/>
          <w:szCs w:val="28"/>
          <w:lang w:val="en-US"/>
        </w:rPr>
        <w:t>Gentile</w:t>
      </w:r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111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EB31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B3111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B3111">
        <w:rPr>
          <w:rFonts w:ascii="Times New Roman" w:hAnsi="Times New Roman" w:cs="Times New Roman"/>
          <w:color w:val="000000"/>
          <w:sz w:val="28"/>
          <w:szCs w:val="28"/>
          <w:lang w:val="en-US"/>
        </w:rPr>
        <w:t>et</w:t>
      </w:r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111">
        <w:rPr>
          <w:rFonts w:ascii="Times New Roman" w:hAnsi="Times New Roman" w:cs="Times New Roman"/>
          <w:color w:val="000000"/>
          <w:sz w:val="28"/>
          <w:szCs w:val="28"/>
          <w:lang w:val="en-US"/>
        </w:rPr>
        <w:t>al</w:t>
      </w:r>
      <w:r w:rsidRPr="00EB3111">
        <w:rPr>
          <w:rFonts w:ascii="Times New Roman" w:hAnsi="Times New Roman" w:cs="Times New Roman"/>
          <w:color w:val="000000"/>
          <w:sz w:val="28"/>
          <w:szCs w:val="28"/>
        </w:rPr>
        <w:t>. (2012) летальность от тяжелого сепсиса в разные годы распределялась с</w:t>
      </w:r>
      <w:r w:rsidRPr="00EB3111">
        <w:rPr>
          <w:rFonts w:ascii="Times New Roman" w:hAnsi="Times New Roman" w:cs="Times New Roman"/>
          <w:color w:val="000000" w:themeColor="text1"/>
          <w:sz w:val="28"/>
          <w:szCs w:val="28"/>
        </w:rPr>
        <w:t>ледующим образом: 2006 – 34%, 2007 – 24%, 2008 – 23%, 2009 – 14% [</w:t>
      </w:r>
      <w:r w:rsidR="002361D5" w:rsidRPr="00EB3111">
        <w:rPr>
          <w:rFonts w:ascii="Times New Roman" w:hAnsi="Times New Roman" w:cs="Times New Roman"/>
          <w:color w:val="000000" w:themeColor="text1"/>
          <w:sz w:val="28"/>
          <w:szCs w:val="28"/>
        </w:rPr>
        <w:t>2].</w:t>
      </w:r>
      <w:r w:rsidRPr="00EB3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показаны</w:t>
      </w:r>
      <w:r w:rsidRPr="00EB3111"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более высокие цифры летальности, достигающие 29,3% у пациентов с тяжелым сепсисом и 40,7% у пациентов с септическим </w:t>
      </w:r>
      <w:r w:rsidRPr="00EB3111">
        <w:rPr>
          <w:rFonts w:ascii="Times New Roman" w:hAnsi="Times New Roman" w:cs="Times New Roman"/>
          <w:color w:val="000000" w:themeColor="text1"/>
          <w:sz w:val="28"/>
          <w:szCs w:val="28"/>
        </w:rPr>
        <w:t>шоком [</w:t>
      </w:r>
      <w:r w:rsidR="002361D5" w:rsidRPr="00EB31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B3111">
        <w:rPr>
          <w:rFonts w:ascii="Times New Roman" w:hAnsi="Times New Roman" w:cs="Times New Roman"/>
          <w:color w:val="000000" w:themeColor="text1"/>
          <w:sz w:val="28"/>
          <w:szCs w:val="28"/>
        </w:rPr>
        <w:t>]. Роль</w:t>
      </w:r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экстракорпоральных методов очищения крови (ЭОК) в интенсивной терапии сепсиса, несмотря на многолетние дискуссии и результаты многочисленных исследован</w:t>
      </w:r>
      <w:r w:rsidR="002361D5" w:rsidRPr="00EB3111">
        <w:rPr>
          <w:rFonts w:ascii="Times New Roman" w:hAnsi="Times New Roman" w:cs="Times New Roman"/>
          <w:color w:val="000000"/>
          <w:sz w:val="28"/>
          <w:szCs w:val="28"/>
        </w:rPr>
        <w:t>ий, до сих пор остается неясной</w:t>
      </w:r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2361D5" w:rsidRPr="00EB311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]. К сожалению, многое в данной дискуссии возникает потому, что нам не хватает четкого понимания того, какой метод ЭОК и когда следует использовать, когда риск применения ЭОК превышает пользу и когда же следует остановиться при применении той или иной методики. В отсутствие этих знаний, методики ЭОК остаются среди большого числа </w:t>
      </w:r>
      <w:proofErr w:type="spellStart"/>
      <w:r w:rsidRPr="00EB3111">
        <w:rPr>
          <w:rFonts w:ascii="Times New Roman" w:hAnsi="Times New Roman" w:cs="Times New Roman"/>
          <w:color w:val="000000"/>
          <w:sz w:val="28"/>
          <w:szCs w:val="28"/>
        </w:rPr>
        <w:t>интенсивистов</w:t>
      </w:r>
      <w:proofErr w:type="spellEnd"/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многообещающими методами, но с плохо доказанной эффективностью [</w:t>
      </w:r>
      <w:r w:rsidR="002361D5" w:rsidRPr="00EB31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B3111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EB3111" w:rsidRDefault="00EB3111" w:rsidP="00EB31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4B9D" w:rsidRPr="00EB3111" w:rsidRDefault="008C4B9D" w:rsidP="00EB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11">
        <w:rPr>
          <w:rFonts w:ascii="Times New Roman" w:hAnsi="Times New Roman" w:cs="Times New Roman"/>
          <w:b/>
          <w:color w:val="000000"/>
          <w:sz w:val="28"/>
          <w:szCs w:val="28"/>
        </w:rPr>
        <w:t>Цель исследования</w:t>
      </w:r>
      <w:r w:rsidRPr="00EB3111">
        <w:rPr>
          <w:rFonts w:ascii="Times New Roman" w:hAnsi="Times New Roman" w:cs="Times New Roman"/>
          <w:color w:val="000000"/>
          <w:sz w:val="28"/>
          <w:szCs w:val="28"/>
        </w:rPr>
        <w:t>. Изучить в</w:t>
      </w:r>
      <w:r w:rsidRPr="00EB3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ариабельность уровней </w:t>
      </w:r>
      <w:proofErr w:type="spellStart"/>
      <w:r w:rsidRPr="00EB311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провоспалительных</w:t>
      </w:r>
      <w:proofErr w:type="spellEnd"/>
      <w:r w:rsidRPr="00EB3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цитокинов при проведении различных методов </w:t>
      </w:r>
      <w:r w:rsidR="00383536" w:rsidRPr="00EB3111">
        <w:rPr>
          <w:rFonts w:ascii="Times New Roman" w:eastAsia="Times New Roman" w:hAnsi="Times New Roman" w:cs="Times New Roman"/>
          <w:color w:val="000000"/>
          <w:sz w:val="28"/>
          <w:szCs w:val="28"/>
        </w:rPr>
        <w:t>ЭОК</w:t>
      </w:r>
      <w:r w:rsidRPr="00EB3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пациентов с сепсисом.</w:t>
      </w:r>
    </w:p>
    <w:p w:rsidR="00EB3111" w:rsidRDefault="00EB3111" w:rsidP="00EB3111">
      <w:pPr>
        <w:pStyle w:val="a3"/>
        <w:spacing w:after="0"/>
        <w:ind w:left="0" w:firstLine="709"/>
        <w:jc w:val="both"/>
        <w:rPr>
          <w:b/>
        </w:rPr>
      </w:pPr>
    </w:p>
    <w:p w:rsidR="004B3298" w:rsidRPr="00EB3111" w:rsidRDefault="00852F72" w:rsidP="00EB3111">
      <w:pPr>
        <w:pStyle w:val="a3"/>
        <w:spacing w:after="0"/>
        <w:ind w:left="0" w:firstLine="709"/>
        <w:jc w:val="both"/>
      </w:pPr>
      <w:r w:rsidRPr="00EB3111">
        <w:rPr>
          <w:b/>
        </w:rPr>
        <w:t>Материалы и методы</w:t>
      </w:r>
      <w:r w:rsidR="007C52C1" w:rsidRPr="00EB3111">
        <w:rPr>
          <w:b/>
        </w:rPr>
        <w:t>.</w:t>
      </w:r>
      <w:r w:rsidR="007C52C1" w:rsidRPr="00EB3111">
        <w:t xml:space="preserve"> </w:t>
      </w:r>
      <w:proofErr w:type="gramStart"/>
      <w:r w:rsidR="007C52C1" w:rsidRPr="00EB3111">
        <w:t xml:space="preserve">Вариабельность </w:t>
      </w:r>
      <w:proofErr w:type="spellStart"/>
      <w:r w:rsidR="007C52C1" w:rsidRPr="00EB3111">
        <w:t>цитокинового</w:t>
      </w:r>
      <w:proofErr w:type="spellEnd"/>
      <w:r w:rsidR="007C52C1" w:rsidRPr="00EB3111">
        <w:t xml:space="preserve"> статуса была изучена у 67 пациентов, которые были разделены на следующие группы: </w:t>
      </w:r>
      <w:r w:rsidR="007C52C1" w:rsidRPr="00EB3111">
        <w:rPr>
          <w:color w:val="000000"/>
        </w:rPr>
        <w:t xml:space="preserve">группа 1 – 12 пациентов (использован стандартный протокол лечения с применением </w:t>
      </w:r>
      <w:r w:rsidR="007C52C1" w:rsidRPr="00EB3111">
        <w:rPr>
          <w:color w:val="000000"/>
          <w:lang w:val="en-US"/>
        </w:rPr>
        <w:t>high</w:t>
      </w:r>
      <w:r w:rsidR="007C52C1" w:rsidRPr="00EB3111">
        <w:rPr>
          <w:color w:val="000000"/>
        </w:rPr>
        <w:t>-</w:t>
      </w:r>
      <w:r w:rsidR="007C52C1" w:rsidRPr="00EB3111">
        <w:rPr>
          <w:color w:val="000000"/>
          <w:lang w:val="en-US"/>
        </w:rPr>
        <w:t>flux</w:t>
      </w:r>
      <w:r w:rsidR="007C52C1" w:rsidRPr="00EB3111">
        <w:rPr>
          <w:color w:val="000000"/>
        </w:rPr>
        <w:t xml:space="preserve"> диализа), группа 2 – 10 пациентов (применен стандартный протокол лечения с включением </w:t>
      </w:r>
      <w:proofErr w:type="spellStart"/>
      <w:r w:rsidR="007C52C1" w:rsidRPr="00EB3111">
        <w:rPr>
          <w:color w:val="000000"/>
        </w:rPr>
        <w:t>плазмафереза</w:t>
      </w:r>
      <w:proofErr w:type="spellEnd"/>
      <w:r w:rsidR="007C52C1" w:rsidRPr="00EB3111">
        <w:rPr>
          <w:color w:val="000000"/>
        </w:rPr>
        <w:t xml:space="preserve">), группа 3 – 17 пациентов (использован стандартный протокол лечения с  </w:t>
      </w:r>
      <w:proofErr w:type="spellStart"/>
      <w:r w:rsidR="007C52C1" w:rsidRPr="00EB3111">
        <w:rPr>
          <w:color w:val="000000"/>
        </w:rPr>
        <w:t>гемоперфузией</w:t>
      </w:r>
      <w:proofErr w:type="spellEnd"/>
      <w:r w:rsidR="007C52C1" w:rsidRPr="00EB3111">
        <w:rPr>
          <w:color w:val="000000"/>
        </w:rPr>
        <w:t xml:space="preserve"> через «</w:t>
      </w:r>
      <w:proofErr w:type="spellStart"/>
      <w:r w:rsidR="007C52C1" w:rsidRPr="00EB3111">
        <w:rPr>
          <w:color w:val="000000"/>
        </w:rPr>
        <w:t>Овосорб</w:t>
      </w:r>
      <w:proofErr w:type="spellEnd"/>
      <w:r w:rsidR="007C52C1" w:rsidRPr="00EB3111">
        <w:rPr>
          <w:color w:val="000000"/>
        </w:rPr>
        <w:t>»), группа 4 – 14 пациентов (лечение проводилось по стандартной методике с применением</w:t>
      </w:r>
      <w:proofErr w:type="gramEnd"/>
      <w:r w:rsidR="007C52C1" w:rsidRPr="00EB3111">
        <w:rPr>
          <w:color w:val="000000"/>
        </w:rPr>
        <w:t xml:space="preserve"> </w:t>
      </w:r>
      <w:proofErr w:type="spellStart"/>
      <w:r w:rsidR="007C52C1" w:rsidRPr="00EB3111">
        <w:rPr>
          <w:color w:val="000000"/>
        </w:rPr>
        <w:t>гемоперфузии</w:t>
      </w:r>
      <w:proofErr w:type="spellEnd"/>
      <w:r w:rsidR="007C52C1" w:rsidRPr="00EB3111">
        <w:rPr>
          <w:color w:val="000000"/>
        </w:rPr>
        <w:t xml:space="preserve"> через «</w:t>
      </w:r>
      <w:proofErr w:type="spellStart"/>
      <w:r w:rsidR="007C52C1" w:rsidRPr="00EB3111">
        <w:rPr>
          <w:color w:val="000000"/>
        </w:rPr>
        <w:t>Овосорб</w:t>
      </w:r>
      <w:proofErr w:type="spellEnd"/>
      <w:r w:rsidR="007C52C1" w:rsidRPr="00EB3111">
        <w:rPr>
          <w:color w:val="000000"/>
        </w:rPr>
        <w:t xml:space="preserve">» с </w:t>
      </w:r>
      <w:r w:rsidR="004B3298" w:rsidRPr="00EB3111">
        <w:rPr>
          <w:color w:val="000000"/>
        </w:rPr>
        <w:t>магнитной обработкой крови (</w:t>
      </w:r>
      <w:r w:rsidR="007C52C1" w:rsidRPr="00EB3111">
        <w:rPr>
          <w:color w:val="000000"/>
        </w:rPr>
        <w:t xml:space="preserve">МОК), группа 5 – 14 пациентов (использован стандартный протокол лечения с применением </w:t>
      </w:r>
      <w:proofErr w:type="spellStart"/>
      <w:r w:rsidR="007C52C1" w:rsidRPr="00EB3111">
        <w:rPr>
          <w:color w:val="000000"/>
        </w:rPr>
        <w:t>гемокарбоперфузией</w:t>
      </w:r>
      <w:proofErr w:type="spellEnd"/>
      <w:r w:rsidR="007C52C1" w:rsidRPr="00EB3111">
        <w:rPr>
          <w:color w:val="000000"/>
        </w:rPr>
        <w:t xml:space="preserve"> через угольный </w:t>
      </w:r>
      <w:proofErr w:type="spellStart"/>
      <w:r w:rsidR="007C52C1" w:rsidRPr="00EB3111">
        <w:rPr>
          <w:color w:val="000000"/>
        </w:rPr>
        <w:t>гемосорбент</w:t>
      </w:r>
      <w:proofErr w:type="spellEnd"/>
      <w:r w:rsidR="007C52C1" w:rsidRPr="00EB3111">
        <w:rPr>
          <w:color w:val="000000"/>
        </w:rPr>
        <w:t xml:space="preserve"> «Симплекс-Ф»)</w:t>
      </w:r>
      <w:r w:rsidRPr="00EB3111">
        <w:t>.</w:t>
      </w:r>
    </w:p>
    <w:p w:rsidR="00BC6767" w:rsidRPr="00EB3111" w:rsidRDefault="004B3298" w:rsidP="00BC6767">
      <w:pPr>
        <w:pStyle w:val="a3"/>
        <w:spacing w:after="0"/>
        <w:ind w:left="0"/>
        <w:jc w:val="both"/>
        <w:rPr>
          <w:spacing w:val="4"/>
        </w:rPr>
      </w:pPr>
      <w:r w:rsidRPr="00EB3111">
        <w:lastRenderedPageBreak/>
        <w:t xml:space="preserve">     </w:t>
      </w:r>
      <w:r w:rsidR="00852F72" w:rsidRPr="00EB3111">
        <w:rPr>
          <w:b/>
        </w:rPr>
        <w:t xml:space="preserve"> </w:t>
      </w:r>
      <w:r w:rsidRPr="00EB3111">
        <w:t xml:space="preserve">Все процедуры экстракорпорального очищения крови проводились по общепринятым методикам. Воздействие магнитного поля на кровь осуществлялось с помощью аппарата </w:t>
      </w:r>
      <w:r w:rsidRPr="00EB3111">
        <w:sym w:font="Symbol" w:char="F0B2"/>
      </w:r>
      <w:proofErr w:type="spellStart"/>
      <w:r w:rsidRPr="00EB3111">
        <w:rPr>
          <w:lang w:val="en-US"/>
        </w:rPr>
        <w:t>HemoSPOK</w:t>
      </w:r>
      <w:proofErr w:type="spellEnd"/>
      <w:r w:rsidRPr="00EB3111">
        <w:sym w:font="Symbol" w:char="F0B2"/>
      </w:r>
      <w:r w:rsidRPr="00EB3111">
        <w:t xml:space="preserve"> (ОДО «</w:t>
      </w:r>
      <w:proofErr w:type="spellStart"/>
      <w:r w:rsidRPr="00EB3111">
        <w:t>Магномед</w:t>
      </w:r>
      <w:proofErr w:type="spellEnd"/>
      <w:r w:rsidRPr="00EB3111">
        <w:t xml:space="preserve">», Беларусь). </w:t>
      </w:r>
      <w:r w:rsidR="00852F72" w:rsidRPr="00EB3111">
        <w:t>Для осуществления процедуры в зазор излучателя индуктора аппарата МОК помещалась система экстракорпорального контура во время проведения одной из процедур экстракорпорального очищения крови. Кровь обрабатывали в момент ее циркуляции по системе. В это время на индуктор аппарата подавался</w:t>
      </w:r>
      <w:r w:rsidR="00852F72" w:rsidRPr="00EB3111">
        <w:rPr>
          <w:color w:val="000080"/>
        </w:rPr>
        <w:t xml:space="preserve"> </w:t>
      </w:r>
      <w:r w:rsidR="00852F72" w:rsidRPr="00EB3111">
        <w:t xml:space="preserve">пульсирующий ток с частотой 10 Гц. Каждый импульс характеризовался изменением тока по частоте от 60 до 200 Гц. Магнитная </w:t>
      </w:r>
      <w:proofErr w:type="gramStart"/>
      <w:r w:rsidR="00852F72" w:rsidRPr="00EB3111">
        <w:t>индукция</w:t>
      </w:r>
      <w:proofErr w:type="gramEnd"/>
      <w:r w:rsidR="00852F72" w:rsidRPr="00EB3111">
        <w:sym w:font="Symbol" w:char="F02C"/>
      </w:r>
      <w:r w:rsidR="00852F72" w:rsidRPr="00EB3111">
        <w:t xml:space="preserve"> создаваемая аппаратом между полюсами индуктора</w:t>
      </w:r>
      <w:r w:rsidR="00852F72" w:rsidRPr="00EB3111">
        <w:sym w:font="Symbol" w:char="F02C"/>
      </w:r>
      <w:r w:rsidR="00852F72" w:rsidRPr="00EB3111">
        <w:t xml:space="preserve"> составляла 140</w:t>
      </w:r>
      <w:r w:rsidR="00852F72" w:rsidRPr="00EB3111">
        <w:sym w:font="Symbol" w:char="F0B1"/>
      </w:r>
      <w:r w:rsidR="00852F72" w:rsidRPr="00EB3111">
        <w:t xml:space="preserve">10 мТл. Процедура </w:t>
      </w:r>
      <w:r w:rsidR="00383536" w:rsidRPr="00EB3111">
        <w:t>МОК</w:t>
      </w:r>
      <w:r w:rsidR="00852F72" w:rsidRPr="00EB3111">
        <w:t xml:space="preserve"> продолжалась 30 минут и проводилась ежедневно. Общее количество сеансов </w:t>
      </w:r>
      <w:r w:rsidR="00383536" w:rsidRPr="00EB3111">
        <w:t>МОК</w:t>
      </w:r>
      <w:r w:rsidR="00852F72" w:rsidRPr="00EB3111">
        <w:t xml:space="preserve"> состав</w:t>
      </w:r>
      <w:r w:rsidR="00383536" w:rsidRPr="00EB3111">
        <w:t>ило</w:t>
      </w:r>
      <w:r w:rsidR="00852F72" w:rsidRPr="00EB3111">
        <w:t xml:space="preserve"> 5 процедур.</w:t>
      </w:r>
      <w:r w:rsidR="00BC6767" w:rsidRPr="00EB3111">
        <w:rPr>
          <w:spacing w:val="4"/>
        </w:rPr>
        <w:t xml:space="preserve"> </w:t>
      </w:r>
    </w:p>
    <w:p w:rsidR="00862CD8" w:rsidRPr="00EB3111" w:rsidRDefault="00BC6767" w:rsidP="00A21C3A">
      <w:pPr>
        <w:pStyle w:val="a3"/>
        <w:spacing w:after="0"/>
        <w:ind w:left="0" w:firstLine="709"/>
        <w:jc w:val="both"/>
      </w:pPr>
      <w:r w:rsidRPr="00EB3111">
        <w:rPr>
          <w:spacing w:val="4"/>
        </w:rPr>
        <w:t>Уровень цитокинов (</w:t>
      </w:r>
      <w:r w:rsidRPr="00EB3111">
        <w:rPr>
          <w:spacing w:val="4"/>
          <w:lang w:val="en-US"/>
        </w:rPr>
        <w:t>TNF</w:t>
      </w:r>
      <w:r w:rsidRPr="00EB3111">
        <w:rPr>
          <w:spacing w:val="4"/>
        </w:rPr>
        <w:t xml:space="preserve">-α, </w:t>
      </w:r>
      <w:r w:rsidRPr="00EB3111">
        <w:rPr>
          <w:spacing w:val="4"/>
          <w:lang w:val="en-US"/>
        </w:rPr>
        <w:t>IL</w:t>
      </w:r>
      <w:r w:rsidRPr="00EB3111">
        <w:rPr>
          <w:spacing w:val="4"/>
        </w:rPr>
        <w:t>-6) исследовали методом ИФА на анализаторе «</w:t>
      </w:r>
      <w:proofErr w:type="spellStart"/>
      <w:r w:rsidRPr="00EB3111">
        <w:rPr>
          <w:spacing w:val="4"/>
          <w:lang w:val="en-US"/>
        </w:rPr>
        <w:t>Dialab</w:t>
      </w:r>
      <w:proofErr w:type="spellEnd"/>
      <w:r w:rsidRPr="00EB3111">
        <w:rPr>
          <w:spacing w:val="4"/>
        </w:rPr>
        <w:t xml:space="preserve"> </w:t>
      </w:r>
      <w:proofErr w:type="spellStart"/>
      <w:r w:rsidRPr="00EB3111">
        <w:rPr>
          <w:spacing w:val="4"/>
          <w:lang w:val="en-US"/>
        </w:rPr>
        <w:t>ELx</w:t>
      </w:r>
      <w:proofErr w:type="spellEnd"/>
      <w:r w:rsidRPr="00EB3111">
        <w:rPr>
          <w:spacing w:val="4"/>
        </w:rPr>
        <w:t xml:space="preserve"> 800</w:t>
      </w:r>
      <w:r w:rsidRPr="00EB3111">
        <w:rPr>
          <w:spacing w:val="4"/>
          <w:vertAlign w:val="superscript"/>
        </w:rPr>
        <w:t>®</w:t>
      </w:r>
      <w:r w:rsidRPr="00EB3111">
        <w:rPr>
          <w:spacing w:val="4"/>
        </w:rPr>
        <w:t>» (</w:t>
      </w:r>
      <w:r w:rsidRPr="00EB3111">
        <w:rPr>
          <w:spacing w:val="4"/>
          <w:lang w:val="en-US"/>
        </w:rPr>
        <w:t>Austria</w:t>
      </w:r>
      <w:r w:rsidRPr="00EB3111">
        <w:rPr>
          <w:spacing w:val="4"/>
        </w:rPr>
        <w:t>) реактивами фирмы «</w:t>
      </w:r>
      <w:r w:rsidRPr="00EB3111">
        <w:rPr>
          <w:spacing w:val="4"/>
          <w:lang w:val="en-US"/>
        </w:rPr>
        <w:t>DRG</w:t>
      </w:r>
      <w:r w:rsidRPr="00EB3111">
        <w:rPr>
          <w:spacing w:val="4"/>
          <w:vertAlign w:val="superscript"/>
        </w:rPr>
        <w:t>®</w:t>
      </w:r>
      <w:r w:rsidRPr="00EB3111">
        <w:rPr>
          <w:spacing w:val="4"/>
        </w:rPr>
        <w:t>» (</w:t>
      </w:r>
      <w:r w:rsidRPr="00EB3111">
        <w:rPr>
          <w:spacing w:val="4"/>
          <w:lang w:val="en-US"/>
        </w:rPr>
        <w:t>USA</w:t>
      </w:r>
      <w:r w:rsidRPr="00EB3111">
        <w:rPr>
          <w:spacing w:val="4"/>
        </w:rPr>
        <w:t>).</w:t>
      </w:r>
      <w:r w:rsidR="00231165" w:rsidRPr="00EB3111">
        <w:t xml:space="preserve"> </w:t>
      </w:r>
    </w:p>
    <w:p w:rsidR="00A21C3A" w:rsidRPr="00EB3111" w:rsidRDefault="00A21C3A" w:rsidP="00EB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11">
        <w:rPr>
          <w:rFonts w:ascii="Times New Roman" w:hAnsi="Times New Roman" w:cs="Times New Roman"/>
          <w:sz w:val="28"/>
          <w:szCs w:val="28"/>
        </w:rPr>
        <w:t>Полученные данные статистически обрабатывались с помощью программы «</w:t>
      </w:r>
      <w:proofErr w:type="spellStart"/>
      <w:r w:rsidRPr="00EB3111">
        <w:rPr>
          <w:rFonts w:ascii="Times New Roman" w:hAnsi="Times New Roman" w:cs="Times New Roman"/>
          <w:sz w:val="28"/>
          <w:szCs w:val="28"/>
        </w:rPr>
        <w:t>Statistica</w:t>
      </w:r>
      <w:proofErr w:type="spellEnd"/>
      <w:r w:rsidRPr="00EB3111">
        <w:rPr>
          <w:rFonts w:ascii="Times New Roman" w:hAnsi="Times New Roman" w:cs="Times New Roman"/>
          <w:sz w:val="28"/>
          <w:szCs w:val="28"/>
        </w:rPr>
        <w:t xml:space="preserve"> 6.0» (</w:t>
      </w:r>
      <w:proofErr w:type="spellStart"/>
      <w:r w:rsidRPr="00EB3111">
        <w:rPr>
          <w:rFonts w:ascii="Times New Roman" w:hAnsi="Times New Roman" w:cs="Times New Roman"/>
          <w:sz w:val="28"/>
          <w:szCs w:val="28"/>
        </w:rPr>
        <w:t>Statsoft</w:t>
      </w:r>
      <w:proofErr w:type="spellEnd"/>
      <w:r w:rsidRPr="00EB3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111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EB3111">
        <w:rPr>
          <w:rFonts w:ascii="Times New Roman" w:hAnsi="Times New Roman" w:cs="Times New Roman"/>
          <w:sz w:val="28"/>
          <w:szCs w:val="28"/>
        </w:rPr>
        <w:t xml:space="preserve">, US). С учётом размеров малой выборки, а также отсутствия нормального распределения в группах статистическую значимость результатов оценивали методом непараметрической статистики для независимых выборок – U-критерия Манна-Уитни, </w:t>
      </w:r>
      <w:r w:rsidRPr="00EB3111">
        <w:rPr>
          <w:rFonts w:ascii="Times New Roman" w:eastAsia="Times New Roman" w:hAnsi="Times New Roman"/>
          <w:color w:val="000000"/>
          <w:sz w:val="28"/>
          <w:szCs w:val="28"/>
        </w:rPr>
        <w:t xml:space="preserve">а зависимых признаков – с помощью непараметрического критерия </w:t>
      </w:r>
      <w:proofErr w:type="spellStart"/>
      <w:r w:rsidRPr="00EB3111">
        <w:rPr>
          <w:rFonts w:ascii="Times New Roman" w:eastAsia="Times New Roman" w:hAnsi="Times New Roman"/>
          <w:color w:val="000000"/>
          <w:sz w:val="28"/>
          <w:szCs w:val="28"/>
        </w:rPr>
        <w:t>Вилкоксона</w:t>
      </w:r>
      <w:proofErr w:type="spellEnd"/>
      <w:r w:rsidRPr="00EB311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EB31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EB3111">
        <w:rPr>
          <w:rFonts w:ascii="Times New Roman" w:hAnsi="Times New Roman" w:cs="Times New Roman"/>
          <w:sz w:val="28"/>
          <w:szCs w:val="28"/>
        </w:rPr>
        <w:t xml:space="preserve">Критический уровень статистической значимости принимали за </w:t>
      </w:r>
      <w:proofErr w:type="gramStart"/>
      <w:r w:rsidRPr="00EB31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3111">
        <w:rPr>
          <w:rFonts w:ascii="Times New Roman" w:hAnsi="Times New Roman" w:cs="Times New Roman"/>
          <w:sz w:val="28"/>
          <w:szCs w:val="28"/>
        </w:rPr>
        <w:t>&lt; 0,05.</w:t>
      </w:r>
    </w:p>
    <w:p w:rsidR="00EB3111" w:rsidRDefault="00EB3111" w:rsidP="00EB31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CD8" w:rsidRPr="00EB3111" w:rsidRDefault="00BC6767" w:rsidP="00EB31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111">
        <w:rPr>
          <w:rFonts w:ascii="Times New Roman" w:hAnsi="Times New Roman" w:cs="Times New Roman"/>
          <w:b/>
          <w:color w:val="000000"/>
          <w:sz w:val="28"/>
          <w:szCs w:val="28"/>
        </w:rPr>
        <w:t>Результаты</w:t>
      </w:r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2CD8"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Динамика изменения уровней воспалительных цитокинов </w:t>
      </w:r>
      <w:r w:rsidR="00862CD8" w:rsidRPr="00EB3111">
        <w:rPr>
          <w:rFonts w:ascii="Times New Roman" w:hAnsi="Times New Roman" w:cs="Times New Roman"/>
          <w:color w:val="000000"/>
          <w:sz w:val="28"/>
          <w:szCs w:val="28"/>
          <w:lang w:val="en-US"/>
        </w:rPr>
        <w:t>TNF</w:t>
      </w:r>
      <w:r w:rsidR="00862CD8"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62CD8" w:rsidRPr="00EB3111">
        <w:rPr>
          <w:rFonts w:ascii="Times New Roman" w:hAnsi="Times New Roman" w:cs="Times New Roman"/>
          <w:color w:val="000000"/>
          <w:sz w:val="28"/>
          <w:szCs w:val="28"/>
          <w:lang w:val="en-US"/>
        </w:rPr>
        <w:t>IL</w:t>
      </w:r>
      <w:r w:rsidR="00862CD8" w:rsidRPr="00EB3111">
        <w:rPr>
          <w:rFonts w:ascii="Times New Roman" w:hAnsi="Times New Roman" w:cs="Times New Roman"/>
          <w:color w:val="000000"/>
          <w:sz w:val="28"/>
          <w:szCs w:val="28"/>
        </w:rPr>
        <w:t>-6 в группах представлена в таблицах 1 и 2.</w:t>
      </w:r>
    </w:p>
    <w:p w:rsidR="00EB3111" w:rsidRDefault="00862CD8" w:rsidP="00EB311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B311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Таблица 1. </w:t>
      </w:r>
    </w:p>
    <w:p w:rsidR="00862CD8" w:rsidRDefault="00862CD8" w:rsidP="00EB31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B311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Динамика изменения уровня </w:t>
      </w:r>
      <w:r w:rsidRPr="00EB3111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TNF</w:t>
      </w:r>
      <w:r w:rsidRPr="00EB3111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Pr="00EB3111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α</w:t>
      </w:r>
      <w:r w:rsidRPr="00EB311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у пациентов</w:t>
      </w:r>
      <w:r w:rsidR="00383536" w:rsidRPr="00EB311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B3111">
        <w:rPr>
          <w:rFonts w:ascii="Times New Roman" w:hAnsi="Times New Roman" w:cs="Times New Roman"/>
          <w:color w:val="000000"/>
          <w:spacing w:val="4"/>
          <w:sz w:val="28"/>
          <w:szCs w:val="28"/>
        </w:rPr>
        <w:t>с сепсисом при проведении различных методов ЭОК (</w:t>
      </w:r>
      <w:proofErr w:type="spellStart"/>
      <w:r w:rsidRPr="00EB3111">
        <w:rPr>
          <w:rFonts w:ascii="Times New Roman" w:hAnsi="Times New Roman" w:cs="Times New Roman"/>
          <w:color w:val="000000"/>
          <w:sz w:val="28"/>
          <w:szCs w:val="28"/>
        </w:rPr>
        <w:t>Ме</w:t>
      </w:r>
      <w:proofErr w:type="spellEnd"/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(25; 75 </w:t>
      </w:r>
      <w:proofErr w:type="spellStart"/>
      <w:r w:rsidRPr="00EB3111">
        <w:rPr>
          <w:rFonts w:ascii="Times New Roman" w:hAnsi="Times New Roman" w:cs="Times New Roman"/>
          <w:color w:val="000000"/>
          <w:sz w:val="28"/>
          <w:szCs w:val="28"/>
        </w:rPr>
        <w:t>процентили</w:t>
      </w:r>
      <w:proofErr w:type="spellEnd"/>
      <w:r w:rsidRPr="00EB3111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111">
        <w:rPr>
          <w:rFonts w:ascii="Times New Roman" w:hAnsi="Times New Roman" w:cs="Times New Roman"/>
          <w:color w:val="000000"/>
          <w:spacing w:val="4"/>
          <w:sz w:val="28"/>
          <w:szCs w:val="28"/>
        </w:rPr>
        <w:t>мкмоль</w:t>
      </w:r>
      <w:proofErr w:type="spellEnd"/>
      <w:r w:rsidRPr="00EB3111">
        <w:rPr>
          <w:rFonts w:ascii="Times New Roman" w:hAnsi="Times New Roman" w:cs="Times New Roman"/>
          <w:color w:val="000000"/>
          <w:spacing w:val="4"/>
          <w:sz w:val="28"/>
          <w:szCs w:val="28"/>
        </w:rPr>
        <w:t>/л)</w:t>
      </w:r>
    </w:p>
    <w:p w:rsidR="00EB3111" w:rsidRPr="00EB3111" w:rsidRDefault="00EB3111" w:rsidP="00EB31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25"/>
        <w:gridCol w:w="1625"/>
        <w:gridCol w:w="1625"/>
        <w:gridCol w:w="1625"/>
        <w:gridCol w:w="1625"/>
        <w:gridCol w:w="1339"/>
      </w:tblGrid>
      <w:tr w:rsidR="00862CD8" w:rsidRPr="007C52C1" w:rsidTr="002F28D6">
        <w:tc>
          <w:tcPr>
            <w:tcW w:w="1625" w:type="dxa"/>
            <w:hideMark/>
          </w:tcPr>
          <w:p w:rsidR="00862CD8" w:rsidRPr="007C52C1" w:rsidRDefault="00862CD8" w:rsidP="00862CD8">
            <w:pPr>
              <w:pStyle w:val="a3"/>
              <w:spacing w:after="0"/>
              <w:ind w:left="0"/>
              <w:jc w:val="center"/>
              <w:rPr>
                <w:b/>
                <w:bCs/>
                <w:spacing w:val="4"/>
                <w:sz w:val="24"/>
                <w:szCs w:val="24"/>
              </w:rPr>
            </w:pPr>
            <w:r w:rsidRPr="007C52C1">
              <w:rPr>
                <w:b/>
                <w:bCs/>
                <w:spacing w:val="4"/>
                <w:sz w:val="24"/>
                <w:szCs w:val="24"/>
              </w:rPr>
              <w:t>Этапы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pStyle w:val="a3"/>
              <w:spacing w:after="0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7C52C1">
              <w:rPr>
                <w:b/>
                <w:bCs/>
                <w:color w:val="000000"/>
                <w:spacing w:val="4"/>
                <w:sz w:val="24"/>
                <w:szCs w:val="24"/>
              </w:rPr>
              <w:t>Группа 1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pStyle w:val="a3"/>
              <w:spacing w:after="0"/>
              <w:ind w:left="0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7C52C1">
              <w:rPr>
                <w:b/>
                <w:bCs/>
                <w:color w:val="000000"/>
                <w:spacing w:val="4"/>
                <w:sz w:val="24"/>
                <w:szCs w:val="24"/>
              </w:rPr>
              <w:t>Группа 2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pStyle w:val="a3"/>
              <w:spacing w:after="0"/>
              <w:ind w:left="0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7C52C1">
              <w:rPr>
                <w:b/>
                <w:bCs/>
                <w:color w:val="000000"/>
                <w:spacing w:val="4"/>
                <w:sz w:val="24"/>
                <w:szCs w:val="24"/>
              </w:rPr>
              <w:t>Группа 3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pStyle w:val="a3"/>
              <w:spacing w:after="0"/>
              <w:ind w:left="0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7C52C1">
              <w:rPr>
                <w:b/>
                <w:bCs/>
                <w:color w:val="000000"/>
                <w:spacing w:val="4"/>
                <w:sz w:val="24"/>
                <w:szCs w:val="24"/>
              </w:rPr>
              <w:t>Группа 4</w:t>
            </w:r>
          </w:p>
        </w:tc>
        <w:tc>
          <w:tcPr>
            <w:tcW w:w="1339" w:type="dxa"/>
            <w:hideMark/>
          </w:tcPr>
          <w:p w:rsidR="00862CD8" w:rsidRPr="007C52C1" w:rsidRDefault="00862CD8" w:rsidP="00862CD8">
            <w:pPr>
              <w:pStyle w:val="a3"/>
              <w:spacing w:after="0"/>
              <w:ind w:left="0"/>
              <w:jc w:val="center"/>
              <w:rPr>
                <w:b/>
                <w:bCs/>
                <w:color w:val="000000"/>
                <w:spacing w:val="4"/>
                <w:sz w:val="24"/>
                <w:szCs w:val="24"/>
                <w:lang w:val="en-US"/>
              </w:rPr>
            </w:pPr>
            <w:r w:rsidRPr="007C52C1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Группа </w:t>
            </w:r>
            <w:r w:rsidRPr="007C52C1">
              <w:rPr>
                <w:b/>
                <w:bCs/>
                <w:color w:val="000000"/>
                <w:spacing w:val="4"/>
                <w:sz w:val="24"/>
                <w:szCs w:val="24"/>
                <w:lang w:val="en-US"/>
              </w:rPr>
              <w:t>5</w:t>
            </w:r>
          </w:p>
        </w:tc>
      </w:tr>
      <w:tr w:rsidR="00862CD8" w:rsidRPr="007C52C1" w:rsidTr="002F28D6">
        <w:tc>
          <w:tcPr>
            <w:tcW w:w="1625" w:type="dxa"/>
            <w:hideMark/>
          </w:tcPr>
          <w:p w:rsidR="00862CD8" w:rsidRPr="007C52C1" w:rsidRDefault="00862CD8" w:rsidP="00862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eastAsia="Times New Roman" w:hAnsi="Times New Roman" w:cs="Times New Roman"/>
                <w:sz w:val="24"/>
                <w:szCs w:val="24"/>
              </w:rPr>
              <w:t>До ЭОК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441</w:t>
            </w: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,9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(312,0; 496,5)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424,0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(392,1; 511,6)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479</w:t>
            </w: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,8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(395,0; 612,3)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530,8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(450,0; 622,0)</w:t>
            </w:r>
          </w:p>
        </w:tc>
        <w:tc>
          <w:tcPr>
            <w:tcW w:w="1339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489,4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(285,0; 662,5)</w:t>
            </w:r>
          </w:p>
        </w:tc>
      </w:tr>
      <w:tr w:rsidR="00862CD8" w:rsidRPr="007C52C1" w:rsidTr="002F28D6">
        <w:tc>
          <w:tcPr>
            <w:tcW w:w="1625" w:type="dxa"/>
            <w:hideMark/>
          </w:tcPr>
          <w:p w:rsidR="00862CD8" w:rsidRPr="007C52C1" w:rsidRDefault="00862CD8" w:rsidP="00862CD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</w:pPr>
            <w:proofErr w:type="gramStart"/>
            <w:r w:rsidRPr="007C52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625" w:type="dxa"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</w:p>
        </w:tc>
        <w:tc>
          <w:tcPr>
            <w:tcW w:w="1625" w:type="dxa"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0</w:t>
            </w: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,324207</w:t>
            </w: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339" w:type="dxa"/>
            <w:hideMark/>
          </w:tcPr>
          <w:p w:rsidR="00862CD8" w:rsidRPr="007C52C1" w:rsidRDefault="00862CD8" w:rsidP="0086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D8" w:rsidRPr="007C52C1" w:rsidTr="002F28D6">
        <w:trPr>
          <w:trHeight w:val="556"/>
        </w:trPr>
        <w:tc>
          <w:tcPr>
            <w:tcW w:w="1625" w:type="dxa"/>
            <w:hideMark/>
          </w:tcPr>
          <w:p w:rsidR="00862CD8" w:rsidRPr="007C52C1" w:rsidRDefault="00862CD8" w:rsidP="00862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1-го</w:t>
            </w:r>
          </w:p>
          <w:p w:rsidR="00862CD8" w:rsidRPr="007C52C1" w:rsidRDefault="00862CD8" w:rsidP="00862CD8">
            <w:pPr>
              <w:pStyle w:val="a3"/>
              <w:spacing w:after="0"/>
              <w:ind w:left="0"/>
              <w:rPr>
                <w:spacing w:val="4"/>
                <w:sz w:val="24"/>
                <w:szCs w:val="24"/>
              </w:rPr>
            </w:pPr>
            <w:r w:rsidRPr="007C52C1">
              <w:rPr>
                <w:sz w:val="24"/>
                <w:szCs w:val="24"/>
              </w:rPr>
              <w:t>ЭОК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448,3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(406,0; 425,0)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368,0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(267,3; 650,0)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248,4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(149,6; 369,1)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201,0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(120,0; 140,8)</w:t>
            </w:r>
          </w:p>
        </w:tc>
        <w:tc>
          <w:tcPr>
            <w:tcW w:w="1339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483,5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(340,8; 614,0)</w:t>
            </w:r>
          </w:p>
        </w:tc>
      </w:tr>
      <w:tr w:rsidR="00862CD8" w:rsidRPr="007C52C1" w:rsidTr="002F28D6">
        <w:trPr>
          <w:trHeight w:val="270"/>
        </w:trPr>
        <w:tc>
          <w:tcPr>
            <w:tcW w:w="1625" w:type="dxa"/>
            <w:hideMark/>
          </w:tcPr>
          <w:p w:rsidR="00862CD8" w:rsidRPr="007C52C1" w:rsidRDefault="00862CD8" w:rsidP="00862CD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ja-JP"/>
              </w:rPr>
            </w:pPr>
            <w:r w:rsidRPr="007C5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0,345232</w:t>
            </w: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0,236724</w:t>
            </w: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0,005847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0,007686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0,348465</w:t>
            </w: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339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0,656642</w:t>
            </w: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</w:tr>
      <w:tr w:rsidR="00862CD8" w:rsidRPr="007C52C1" w:rsidTr="002F28D6">
        <w:tc>
          <w:tcPr>
            <w:tcW w:w="1625" w:type="dxa"/>
            <w:hideMark/>
          </w:tcPr>
          <w:p w:rsidR="00862CD8" w:rsidRPr="007C52C1" w:rsidRDefault="00862CD8" w:rsidP="00862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2-го  ЭОК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456,9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(409,6; 504,1)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361,6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(211,7; 500,0)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235,6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(180,0; 315,0)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164,3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(106,0; 181,4)</w:t>
            </w:r>
          </w:p>
        </w:tc>
        <w:tc>
          <w:tcPr>
            <w:tcW w:w="1339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433,6 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(402,1; 475,0)</w:t>
            </w:r>
          </w:p>
        </w:tc>
      </w:tr>
      <w:tr w:rsidR="00862CD8" w:rsidRPr="007C52C1" w:rsidTr="002F28D6">
        <w:tc>
          <w:tcPr>
            <w:tcW w:w="1625" w:type="dxa"/>
            <w:hideMark/>
          </w:tcPr>
          <w:p w:rsidR="00862CD8" w:rsidRPr="007C52C1" w:rsidRDefault="00862CD8" w:rsidP="00862CD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ja-JP"/>
              </w:rPr>
            </w:pPr>
            <w:r w:rsidRPr="007C5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0,144128</w:t>
            </w: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0,310495</w:t>
            </w: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0,005062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0,007824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0,025749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339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0,066317</w:t>
            </w: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</w:tr>
      <w:tr w:rsidR="00862CD8" w:rsidRPr="007C52C1" w:rsidTr="002F28D6">
        <w:tc>
          <w:tcPr>
            <w:tcW w:w="1625" w:type="dxa"/>
            <w:hideMark/>
          </w:tcPr>
          <w:p w:rsidR="00862CD8" w:rsidRPr="007C52C1" w:rsidRDefault="00862CD8" w:rsidP="00862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всех  ЭОК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474,1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(452,7; 495,6)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219,2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(141,3; 203,4)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164,3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(129,6; 196,2)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63,4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(57,0; 78,3)</w:t>
            </w:r>
          </w:p>
        </w:tc>
        <w:tc>
          <w:tcPr>
            <w:tcW w:w="1339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293,2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(288,1; 329,0)</w:t>
            </w:r>
          </w:p>
        </w:tc>
      </w:tr>
      <w:tr w:rsidR="00862CD8" w:rsidRPr="007C52C1" w:rsidTr="002F28D6">
        <w:trPr>
          <w:trHeight w:val="336"/>
        </w:trPr>
        <w:tc>
          <w:tcPr>
            <w:tcW w:w="1625" w:type="dxa"/>
            <w:hideMark/>
          </w:tcPr>
          <w:p w:rsidR="00862CD8" w:rsidRPr="007C52C1" w:rsidRDefault="00862CD8" w:rsidP="00862CD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ja-JP"/>
              </w:rPr>
            </w:pPr>
            <w:r w:rsidRPr="007C5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0,06789</w:t>
            </w: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0,0464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0,007686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25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0,006814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0,000703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339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0,005062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</w:tr>
    </w:tbl>
    <w:p w:rsidR="00862CD8" w:rsidRPr="007C52C1" w:rsidRDefault="00862CD8" w:rsidP="00862CD8">
      <w:pPr>
        <w:spacing w:after="0" w:line="240" w:lineRule="auto"/>
        <w:jc w:val="both"/>
        <w:rPr>
          <w:rFonts w:ascii="Times New Roman" w:hAnsi="Times New Roman" w:cs="Times New Roman"/>
          <w:lang w:eastAsia="ja-JP"/>
        </w:rPr>
      </w:pPr>
      <w:r w:rsidRPr="007C52C1">
        <w:rPr>
          <w:rFonts w:ascii="Times New Roman" w:hAnsi="Times New Roman" w:cs="Times New Roman"/>
        </w:rPr>
        <w:t xml:space="preserve">   * – </w:t>
      </w:r>
      <w:r w:rsidRPr="007C52C1">
        <w:rPr>
          <w:rFonts w:ascii="Times New Roman" w:hAnsi="Times New Roman" w:cs="Times New Roman"/>
          <w:spacing w:val="4"/>
        </w:rPr>
        <w:t xml:space="preserve">уровень </w:t>
      </w:r>
      <w:r w:rsidRPr="007C52C1">
        <w:rPr>
          <w:rFonts w:ascii="Times New Roman" w:hAnsi="Times New Roman" w:cs="Times New Roman"/>
          <w:i/>
          <w:spacing w:val="4"/>
        </w:rPr>
        <w:t>p</w:t>
      </w:r>
      <w:r w:rsidRPr="007C52C1">
        <w:rPr>
          <w:rFonts w:ascii="Times New Roman" w:hAnsi="Times New Roman" w:cs="Times New Roman"/>
        </w:rPr>
        <w:t xml:space="preserve"> по отношению к началу лечения (критерий </w:t>
      </w:r>
      <w:proofErr w:type="spellStart"/>
      <w:r w:rsidRPr="007C52C1">
        <w:rPr>
          <w:rFonts w:ascii="Times New Roman" w:hAnsi="Times New Roman" w:cs="Times New Roman"/>
        </w:rPr>
        <w:t>Вилкоксона</w:t>
      </w:r>
      <w:proofErr w:type="spellEnd"/>
      <w:r w:rsidRPr="007C52C1">
        <w:rPr>
          <w:rFonts w:ascii="Times New Roman" w:hAnsi="Times New Roman" w:cs="Times New Roman"/>
        </w:rPr>
        <w:t>);</w:t>
      </w:r>
    </w:p>
    <w:p w:rsidR="00862CD8" w:rsidRPr="007C52C1" w:rsidRDefault="00862CD8" w:rsidP="00862C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52C1">
        <w:rPr>
          <w:rFonts w:ascii="Times New Roman" w:hAnsi="Times New Roman" w:cs="Times New Roman"/>
        </w:rPr>
        <w:lastRenderedPageBreak/>
        <w:t xml:space="preserve">   </w:t>
      </w:r>
      <w:proofErr w:type="gramStart"/>
      <w:r w:rsidRPr="007C52C1">
        <w:rPr>
          <w:rFonts w:ascii="Times New Roman" w:hAnsi="Times New Roman" w:cs="Times New Roman"/>
        </w:rPr>
        <w:t xml:space="preserve">** – </w:t>
      </w:r>
      <w:r w:rsidRPr="007C52C1">
        <w:rPr>
          <w:rFonts w:ascii="Times New Roman" w:hAnsi="Times New Roman" w:cs="Times New Roman"/>
          <w:spacing w:val="4"/>
        </w:rPr>
        <w:t xml:space="preserve">уровень </w:t>
      </w:r>
      <w:r w:rsidRPr="007C52C1">
        <w:rPr>
          <w:rFonts w:ascii="Times New Roman" w:hAnsi="Times New Roman" w:cs="Times New Roman"/>
          <w:i/>
          <w:spacing w:val="4"/>
        </w:rPr>
        <w:t>p</w:t>
      </w:r>
      <w:r w:rsidRPr="007C52C1">
        <w:rPr>
          <w:rFonts w:ascii="Times New Roman" w:hAnsi="Times New Roman" w:cs="Times New Roman"/>
          <w:spacing w:val="4"/>
        </w:rPr>
        <w:t xml:space="preserve"> </w:t>
      </w:r>
      <w:r w:rsidRPr="007C52C1">
        <w:rPr>
          <w:rFonts w:ascii="Times New Roman" w:hAnsi="Times New Roman" w:cs="Times New Roman"/>
        </w:rPr>
        <w:t xml:space="preserve">по отношению к аналогичному этапу лечения группы 3 (критерий  </w:t>
      </w:r>
      <w:proofErr w:type="gramEnd"/>
    </w:p>
    <w:p w:rsidR="00862CD8" w:rsidRPr="007C52C1" w:rsidRDefault="00862CD8" w:rsidP="00862C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52C1">
        <w:rPr>
          <w:rFonts w:ascii="Times New Roman" w:hAnsi="Times New Roman" w:cs="Times New Roman"/>
        </w:rPr>
        <w:t xml:space="preserve">           </w:t>
      </w:r>
      <w:proofErr w:type="gramStart"/>
      <w:r w:rsidRPr="007C52C1">
        <w:rPr>
          <w:rFonts w:ascii="Times New Roman" w:hAnsi="Times New Roman" w:cs="Times New Roman"/>
        </w:rPr>
        <w:t xml:space="preserve">Манна-Уитни);  </w:t>
      </w:r>
      <w:r w:rsidRPr="007C52C1">
        <w:rPr>
          <w:rFonts w:ascii="Times New Roman" w:eastAsia="Times New Roman" w:hAnsi="Times New Roman" w:cs="Times New Roman"/>
        </w:rPr>
        <w:t xml:space="preserve">выделенный жирным шрифтом </w:t>
      </w:r>
      <w:r w:rsidRPr="007C52C1">
        <w:rPr>
          <w:rFonts w:ascii="Times New Roman" w:eastAsia="Times New Roman" w:hAnsi="Times New Roman" w:cs="Times New Roman"/>
          <w:i/>
          <w:lang w:val="en-US"/>
        </w:rPr>
        <w:t>p</w:t>
      </w:r>
      <w:r w:rsidRPr="007C52C1">
        <w:rPr>
          <w:rFonts w:ascii="Times New Roman" w:eastAsia="Times New Roman" w:hAnsi="Times New Roman" w:cs="Times New Roman"/>
        </w:rPr>
        <w:t xml:space="preserve"> – различие достоверно.</w:t>
      </w:r>
      <w:proofErr w:type="gramEnd"/>
    </w:p>
    <w:p w:rsidR="00862CD8" w:rsidRPr="00EB3111" w:rsidRDefault="00862CD8" w:rsidP="00EB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11">
        <w:rPr>
          <w:rFonts w:ascii="Times New Roman" w:hAnsi="Times New Roman" w:cs="Times New Roman"/>
          <w:sz w:val="28"/>
          <w:szCs w:val="28"/>
        </w:rPr>
        <w:t xml:space="preserve">Динамика вариабельности </w:t>
      </w:r>
      <w:r w:rsidRPr="00EB3111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EB3111">
        <w:rPr>
          <w:rFonts w:ascii="Times New Roman" w:hAnsi="Times New Roman" w:cs="Times New Roman"/>
          <w:sz w:val="28"/>
          <w:szCs w:val="28"/>
        </w:rPr>
        <w:t>-6 у пациентов с сепсисом при использовании различных видов ЭОК,  представлена в таблице</w:t>
      </w:r>
      <w:r w:rsidR="007C52C1" w:rsidRPr="00EB3111">
        <w:rPr>
          <w:rFonts w:ascii="Times New Roman" w:hAnsi="Times New Roman" w:cs="Times New Roman"/>
          <w:sz w:val="28"/>
          <w:szCs w:val="28"/>
        </w:rPr>
        <w:t xml:space="preserve"> 2</w:t>
      </w:r>
      <w:r w:rsidRPr="00EB3111">
        <w:rPr>
          <w:rFonts w:ascii="Times New Roman" w:hAnsi="Times New Roman" w:cs="Times New Roman"/>
          <w:sz w:val="28"/>
          <w:szCs w:val="28"/>
        </w:rPr>
        <w:t>.</w:t>
      </w:r>
    </w:p>
    <w:p w:rsidR="00EB3111" w:rsidRDefault="00EB3111" w:rsidP="00EB3111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3111" w:rsidRDefault="00862CD8" w:rsidP="00EB3111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B311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Таблица 2. </w:t>
      </w:r>
    </w:p>
    <w:p w:rsidR="00862CD8" w:rsidRDefault="00862CD8" w:rsidP="00862CD8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B311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Динамика изменения уровня </w:t>
      </w:r>
      <w:r w:rsidRPr="00EB3111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IL</w:t>
      </w:r>
      <w:r w:rsidRPr="00EB3111">
        <w:rPr>
          <w:rFonts w:ascii="Times New Roman" w:hAnsi="Times New Roman" w:cs="Times New Roman"/>
          <w:color w:val="000000"/>
          <w:spacing w:val="4"/>
          <w:sz w:val="28"/>
          <w:szCs w:val="28"/>
        </w:rPr>
        <w:t>-6 у пациентов с сепсисом при проведении различных методов ЭОК (</w:t>
      </w:r>
      <w:proofErr w:type="spellStart"/>
      <w:r w:rsidRPr="00EB3111">
        <w:rPr>
          <w:rFonts w:ascii="Times New Roman" w:hAnsi="Times New Roman" w:cs="Times New Roman"/>
          <w:color w:val="000000"/>
          <w:sz w:val="28"/>
          <w:szCs w:val="28"/>
        </w:rPr>
        <w:t>Ме</w:t>
      </w:r>
      <w:proofErr w:type="spellEnd"/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(25; 75 </w:t>
      </w:r>
      <w:proofErr w:type="spellStart"/>
      <w:r w:rsidRPr="00EB3111">
        <w:rPr>
          <w:rFonts w:ascii="Times New Roman" w:hAnsi="Times New Roman" w:cs="Times New Roman"/>
          <w:color w:val="000000"/>
          <w:sz w:val="28"/>
          <w:szCs w:val="28"/>
        </w:rPr>
        <w:t>процентили</w:t>
      </w:r>
      <w:proofErr w:type="spellEnd"/>
      <w:r w:rsidRPr="00EB3111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111">
        <w:rPr>
          <w:rFonts w:ascii="Times New Roman" w:hAnsi="Times New Roman" w:cs="Times New Roman"/>
          <w:color w:val="000000"/>
          <w:spacing w:val="4"/>
          <w:sz w:val="28"/>
          <w:szCs w:val="28"/>
        </w:rPr>
        <w:t>мкмоль</w:t>
      </w:r>
      <w:proofErr w:type="spellEnd"/>
      <w:r w:rsidRPr="00EB3111">
        <w:rPr>
          <w:rFonts w:ascii="Times New Roman" w:hAnsi="Times New Roman" w:cs="Times New Roman"/>
          <w:color w:val="000000"/>
          <w:spacing w:val="4"/>
          <w:sz w:val="28"/>
          <w:szCs w:val="28"/>
        </w:rPr>
        <w:t>/л)</w:t>
      </w:r>
    </w:p>
    <w:p w:rsidR="00EB3111" w:rsidRPr="00EB3111" w:rsidRDefault="00EB3111" w:rsidP="00862CD8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616"/>
        <w:gridCol w:w="1616"/>
        <w:gridCol w:w="1617"/>
        <w:gridCol w:w="1616"/>
        <w:gridCol w:w="1331"/>
      </w:tblGrid>
      <w:tr w:rsidR="00862CD8" w:rsidRPr="007C52C1" w:rsidTr="00EF4EB0">
        <w:tc>
          <w:tcPr>
            <w:tcW w:w="1668" w:type="dxa"/>
            <w:hideMark/>
          </w:tcPr>
          <w:p w:rsidR="00862CD8" w:rsidRPr="007C52C1" w:rsidRDefault="00862CD8" w:rsidP="00862CD8">
            <w:pPr>
              <w:pStyle w:val="a3"/>
              <w:spacing w:after="0"/>
              <w:ind w:left="0"/>
              <w:jc w:val="center"/>
              <w:rPr>
                <w:b/>
                <w:bCs/>
                <w:spacing w:val="4"/>
                <w:sz w:val="24"/>
                <w:szCs w:val="24"/>
              </w:rPr>
            </w:pPr>
            <w:r w:rsidRPr="007C52C1">
              <w:rPr>
                <w:b/>
                <w:bCs/>
                <w:spacing w:val="4"/>
                <w:sz w:val="24"/>
                <w:szCs w:val="24"/>
              </w:rPr>
              <w:t>Этапы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pStyle w:val="a3"/>
              <w:spacing w:after="0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7C52C1">
              <w:rPr>
                <w:b/>
                <w:bCs/>
                <w:color w:val="000000"/>
                <w:spacing w:val="4"/>
                <w:sz w:val="24"/>
                <w:szCs w:val="24"/>
              </w:rPr>
              <w:t>Группа 1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pStyle w:val="a3"/>
              <w:spacing w:after="0"/>
              <w:ind w:left="0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7C52C1">
              <w:rPr>
                <w:b/>
                <w:bCs/>
                <w:color w:val="000000"/>
                <w:spacing w:val="4"/>
                <w:sz w:val="24"/>
                <w:szCs w:val="24"/>
              </w:rPr>
              <w:t>Группа 2</w:t>
            </w:r>
          </w:p>
        </w:tc>
        <w:tc>
          <w:tcPr>
            <w:tcW w:w="1617" w:type="dxa"/>
            <w:hideMark/>
          </w:tcPr>
          <w:p w:rsidR="00862CD8" w:rsidRPr="007C52C1" w:rsidRDefault="00862CD8" w:rsidP="00862CD8">
            <w:pPr>
              <w:pStyle w:val="a3"/>
              <w:spacing w:after="0"/>
              <w:ind w:left="0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7C52C1">
              <w:rPr>
                <w:b/>
                <w:bCs/>
                <w:color w:val="000000"/>
                <w:spacing w:val="4"/>
                <w:sz w:val="24"/>
                <w:szCs w:val="24"/>
              </w:rPr>
              <w:t>Группа 3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pStyle w:val="a3"/>
              <w:spacing w:after="0"/>
              <w:ind w:left="0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7C52C1">
              <w:rPr>
                <w:b/>
                <w:bCs/>
                <w:color w:val="000000"/>
                <w:spacing w:val="4"/>
                <w:sz w:val="24"/>
                <w:szCs w:val="24"/>
              </w:rPr>
              <w:t>Группа 4</w:t>
            </w:r>
          </w:p>
        </w:tc>
        <w:tc>
          <w:tcPr>
            <w:tcW w:w="1331" w:type="dxa"/>
            <w:hideMark/>
          </w:tcPr>
          <w:p w:rsidR="00862CD8" w:rsidRPr="007C52C1" w:rsidRDefault="00862CD8" w:rsidP="00862CD8">
            <w:pPr>
              <w:pStyle w:val="a3"/>
              <w:spacing w:after="0"/>
              <w:ind w:left="0"/>
              <w:jc w:val="center"/>
              <w:rPr>
                <w:b/>
                <w:bCs/>
                <w:color w:val="000000"/>
                <w:spacing w:val="4"/>
                <w:sz w:val="24"/>
                <w:szCs w:val="24"/>
                <w:lang w:val="en-US"/>
              </w:rPr>
            </w:pPr>
            <w:r w:rsidRPr="007C52C1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Группа </w:t>
            </w:r>
            <w:r w:rsidRPr="007C52C1">
              <w:rPr>
                <w:b/>
                <w:bCs/>
                <w:color w:val="000000"/>
                <w:spacing w:val="4"/>
                <w:sz w:val="24"/>
                <w:szCs w:val="24"/>
                <w:lang w:val="en-US"/>
              </w:rPr>
              <w:t>5</w:t>
            </w:r>
          </w:p>
        </w:tc>
      </w:tr>
      <w:tr w:rsidR="00862CD8" w:rsidRPr="007C52C1" w:rsidTr="00EF4EB0">
        <w:trPr>
          <w:trHeight w:val="540"/>
        </w:trPr>
        <w:tc>
          <w:tcPr>
            <w:tcW w:w="1668" w:type="dxa"/>
            <w:hideMark/>
          </w:tcPr>
          <w:p w:rsidR="00862CD8" w:rsidRPr="007C52C1" w:rsidRDefault="00862CD8" w:rsidP="00862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eastAsia="Times New Roman" w:hAnsi="Times New Roman" w:cs="Times New Roman"/>
                <w:sz w:val="24"/>
                <w:szCs w:val="24"/>
              </w:rPr>
              <w:t>До ЭОК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4</w:t>
            </w: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34,9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(325,6; 544,3)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401,5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(416,1; 428,0)</w:t>
            </w:r>
          </w:p>
        </w:tc>
        <w:tc>
          <w:tcPr>
            <w:tcW w:w="1617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504,8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(355,0; 629,6)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626,1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(492,1; 611,0)</w:t>
            </w:r>
          </w:p>
        </w:tc>
        <w:tc>
          <w:tcPr>
            <w:tcW w:w="1331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589,5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(566,6; 644,1)</w:t>
            </w:r>
          </w:p>
        </w:tc>
      </w:tr>
      <w:tr w:rsidR="00862CD8" w:rsidRPr="007C52C1" w:rsidTr="00EF4EB0">
        <w:tc>
          <w:tcPr>
            <w:tcW w:w="1668" w:type="dxa"/>
            <w:hideMark/>
          </w:tcPr>
          <w:p w:rsidR="00862CD8" w:rsidRPr="007C52C1" w:rsidRDefault="00862CD8" w:rsidP="00862CD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ja-JP"/>
              </w:rPr>
            </w:pPr>
            <w:proofErr w:type="gramStart"/>
            <w:r w:rsidRPr="007C52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616" w:type="dxa"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</w:p>
        </w:tc>
        <w:tc>
          <w:tcPr>
            <w:tcW w:w="1616" w:type="dxa"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</w:p>
        </w:tc>
        <w:tc>
          <w:tcPr>
            <w:tcW w:w="1617" w:type="dxa"/>
            <w:hideMark/>
          </w:tcPr>
          <w:p w:rsidR="00862CD8" w:rsidRPr="007C52C1" w:rsidRDefault="00862CD8" w:rsidP="0086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0,885234</w:t>
            </w: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331" w:type="dxa"/>
            <w:hideMark/>
          </w:tcPr>
          <w:p w:rsidR="00862CD8" w:rsidRPr="007C52C1" w:rsidRDefault="00862CD8" w:rsidP="0086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D8" w:rsidRPr="007C52C1" w:rsidTr="00EF4EB0">
        <w:trPr>
          <w:trHeight w:val="612"/>
        </w:trPr>
        <w:tc>
          <w:tcPr>
            <w:tcW w:w="1668" w:type="dxa"/>
            <w:hideMark/>
          </w:tcPr>
          <w:p w:rsidR="00862CD8" w:rsidRPr="007C52C1" w:rsidRDefault="00862CD8" w:rsidP="00862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1-го</w:t>
            </w:r>
          </w:p>
          <w:p w:rsidR="00862CD8" w:rsidRPr="007C52C1" w:rsidRDefault="00862CD8" w:rsidP="00862CD8">
            <w:pPr>
              <w:pStyle w:val="a3"/>
              <w:spacing w:after="0"/>
              <w:ind w:left="0"/>
              <w:rPr>
                <w:spacing w:val="4"/>
                <w:sz w:val="24"/>
                <w:szCs w:val="24"/>
              </w:rPr>
            </w:pPr>
            <w:r w:rsidRPr="007C52C1">
              <w:rPr>
                <w:sz w:val="24"/>
                <w:szCs w:val="24"/>
              </w:rPr>
              <w:t xml:space="preserve">ЭОК 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490,5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(396,1; 584,9)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293,6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(210,0; 392,1)</w:t>
            </w:r>
          </w:p>
        </w:tc>
        <w:tc>
          <w:tcPr>
            <w:tcW w:w="1617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413,4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(355,0; 502,2)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219,9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(165,5; 263,4)</w:t>
            </w:r>
          </w:p>
        </w:tc>
        <w:tc>
          <w:tcPr>
            <w:tcW w:w="1331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557,3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(530,0; 602,0)</w:t>
            </w:r>
          </w:p>
        </w:tc>
      </w:tr>
      <w:tr w:rsidR="00862CD8" w:rsidRPr="007C52C1" w:rsidTr="00EF4EB0">
        <w:trPr>
          <w:trHeight w:val="270"/>
        </w:trPr>
        <w:tc>
          <w:tcPr>
            <w:tcW w:w="1668" w:type="dxa"/>
            <w:hideMark/>
          </w:tcPr>
          <w:p w:rsidR="00862CD8" w:rsidRPr="007C52C1" w:rsidRDefault="00862CD8" w:rsidP="00862CD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ja-JP"/>
              </w:rPr>
            </w:pPr>
            <w:r w:rsidRPr="007C5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0,465209</w:t>
            </w: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0,043115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17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0,029975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0,011719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0,005385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331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0,236724</w:t>
            </w: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</w:tr>
      <w:tr w:rsidR="00862CD8" w:rsidRPr="007C52C1" w:rsidTr="00EF4EB0">
        <w:tc>
          <w:tcPr>
            <w:tcW w:w="1668" w:type="dxa"/>
            <w:hideMark/>
          </w:tcPr>
          <w:p w:rsidR="00862CD8" w:rsidRPr="007C52C1" w:rsidRDefault="00862CD8" w:rsidP="00862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2-го  ЭОК 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351,1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(250,0; 452,1)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294,8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(192,3; 372,1)</w:t>
            </w:r>
          </w:p>
        </w:tc>
        <w:tc>
          <w:tcPr>
            <w:tcW w:w="1617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280,6 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(212,5; 315,5)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212,7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(165,4; 217,0)</w:t>
            </w:r>
          </w:p>
        </w:tc>
        <w:tc>
          <w:tcPr>
            <w:tcW w:w="1331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524,2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(463,0; 593,2)</w:t>
            </w:r>
          </w:p>
        </w:tc>
      </w:tr>
      <w:tr w:rsidR="00862CD8" w:rsidRPr="007C52C1" w:rsidTr="00EF4EB0">
        <w:tc>
          <w:tcPr>
            <w:tcW w:w="1668" w:type="dxa"/>
            <w:hideMark/>
          </w:tcPr>
          <w:p w:rsidR="00862CD8" w:rsidRPr="007C52C1" w:rsidRDefault="00862CD8" w:rsidP="00862CD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ja-JP"/>
              </w:rPr>
            </w:pPr>
            <w:r w:rsidRPr="007C5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0,468313</w:t>
            </w: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0,041268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17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0,011719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0,007686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0,2290502</w:t>
            </w: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331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0,062980</w:t>
            </w: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</w:tr>
      <w:tr w:rsidR="00862CD8" w:rsidRPr="007C52C1" w:rsidTr="00EF4EB0">
        <w:tc>
          <w:tcPr>
            <w:tcW w:w="1668" w:type="dxa"/>
            <w:hideMark/>
          </w:tcPr>
          <w:p w:rsidR="00862CD8" w:rsidRPr="007C52C1" w:rsidRDefault="00862CD8" w:rsidP="00862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всех  ЭОК 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558,5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(250,7; 866,3)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262,9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(230,0; 311,3)</w:t>
            </w:r>
          </w:p>
        </w:tc>
        <w:tc>
          <w:tcPr>
            <w:tcW w:w="1617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186,0 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(136,3; 224,5)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83,7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(65,1; 95,0)</w:t>
            </w:r>
          </w:p>
        </w:tc>
        <w:tc>
          <w:tcPr>
            <w:tcW w:w="1331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344,3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(321,7; 395,8)</w:t>
            </w:r>
          </w:p>
        </w:tc>
      </w:tr>
      <w:tr w:rsidR="00862CD8" w:rsidRPr="007C52C1" w:rsidTr="00EF4EB0">
        <w:trPr>
          <w:trHeight w:val="336"/>
        </w:trPr>
        <w:tc>
          <w:tcPr>
            <w:tcW w:w="1668" w:type="dxa"/>
            <w:hideMark/>
          </w:tcPr>
          <w:p w:rsidR="00862CD8" w:rsidRPr="007C52C1" w:rsidRDefault="00862CD8" w:rsidP="00862CD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ja-JP"/>
              </w:rPr>
            </w:pPr>
            <w:r w:rsidRPr="007C5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0,715001</w:t>
            </w:r>
            <w:r w:rsidRPr="007C52C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0,032231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17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0,016732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16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0,006235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0,001182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331" w:type="dxa"/>
            <w:hideMark/>
          </w:tcPr>
          <w:p w:rsidR="00862CD8" w:rsidRPr="007C52C1" w:rsidRDefault="00862CD8" w:rsidP="00862CD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ja-JP"/>
              </w:rPr>
            </w:pP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0,011719</w:t>
            </w:r>
            <w:r w:rsidRPr="007C52C1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vertAlign w:val="superscript"/>
              </w:rPr>
              <w:t>*</w:t>
            </w:r>
          </w:p>
        </w:tc>
      </w:tr>
    </w:tbl>
    <w:p w:rsidR="00862CD8" w:rsidRPr="007C52C1" w:rsidRDefault="00862CD8" w:rsidP="00862CD8">
      <w:pPr>
        <w:spacing w:after="0" w:line="240" w:lineRule="auto"/>
        <w:jc w:val="both"/>
        <w:rPr>
          <w:rFonts w:ascii="Times New Roman" w:hAnsi="Times New Roman" w:cs="Times New Roman"/>
          <w:lang w:eastAsia="ja-JP"/>
        </w:rPr>
      </w:pPr>
      <w:r w:rsidRPr="007C52C1">
        <w:rPr>
          <w:rFonts w:ascii="Times New Roman" w:hAnsi="Times New Roman" w:cs="Times New Roman"/>
        </w:rPr>
        <w:t xml:space="preserve">   * – </w:t>
      </w:r>
      <w:r w:rsidRPr="007C52C1">
        <w:rPr>
          <w:rFonts w:ascii="Times New Roman" w:hAnsi="Times New Roman" w:cs="Times New Roman"/>
          <w:spacing w:val="4"/>
        </w:rPr>
        <w:t xml:space="preserve">уровень </w:t>
      </w:r>
      <w:r w:rsidRPr="007C52C1">
        <w:rPr>
          <w:rFonts w:ascii="Times New Roman" w:hAnsi="Times New Roman" w:cs="Times New Roman"/>
          <w:i/>
          <w:spacing w:val="4"/>
        </w:rPr>
        <w:t>p</w:t>
      </w:r>
      <w:r w:rsidRPr="007C52C1">
        <w:rPr>
          <w:rFonts w:ascii="Times New Roman" w:hAnsi="Times New Roman" w:cs="Times New Roman"/>
        </w:rPr>
        <w:t xml:space="preserve"> по отношению к началу лечения (критерий </w:t>
      </w:r>
      <w:proofErr w:type="spellStart"/>
      <w:r w:rsidRPr="007C52C1">
        <w:rPr>
          <w:rFonts w:ascii="Times New Roman" w:hAnsi="Times New Roman" w:cs="Times New Roman"/>
        </w:rPr>
        <w:t>Вилкоксона</w:t>
      </w:r>
      <w:proofErr w:type="spellEnd"/>
      <w:r w:rsidRPr="007C52C1">
        <w:rPr>
          <w:rFonts w:ascii="Times New Roman" w:hAnsi="Times New Roman" w:cs="Times New Roman"/>
        </w:rPr>
        <w:t>);</w:t>
      </w:r>
    </w:p>
    <w:p w:rsidR="00862CD8" w:rsidRPr="007C52C1" w:rsidRDefault="00862CD8" w:rsidP="00862C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52C1">
        <w:rPr>
          <w:rFonts w:ascii="Times New Roman" w:hAnsi="Times New Roman" w:cs="Times New Roman"/>
        </w:rPr>
        <w:t xml:space="preserve">   </w:t>
      </w:r>
      <w:proofErr w:type="gramStart"/>
      <w:r w:rsidRPr="007C52C1">
        <w:rPr>
          <w:rFonts w:ascii="Times New Roman" w:hAnsi="Times New Roman" w:cs="Times New Roman"/>
        </w:rPr>
        <w:t xml:space="preserve">** – </w:t>
      </w:r>
      <w:r w:rsidRPr="007C52C1">
        <w:rPr>
          <w:rFonts w:ascii="Times New Roman" w:hAnsi="Times New Roman" w:cs="Times New Roman"/>
          <w:spacing w:val="4"/>
        </w:rPr>
        <w:t xml:space="preserve">уровень </w:t>
      </w:r>
      <w:r w:rsidRPr="007C52C1">
        <w:rPr>
          <w:rFonts w:ascii="Times New Roman" w:hAnsi="Times New Roman" w:cs="Times New Roman"/>
          <w:i/>
          <w:spacing w:val="4"/>
        </w:rPr>
        <w:t>p</w:t>
      </w:r>
      <w:r w:rsidRPr="007C52C1">
        <w:rPr>
          <w:rFonts w:ascii="Times New Roman" w:hAnsi="Times New Roman" w:cs="Times New Roman"/>
          <w:spacing w:val="4"/>
        </w:rPr>
        <w:t xml:space="preserve"> </w:t>
      </w:r>
      <w:r w:rsidRPr="007C52C1">
        <w:rPr>
          <w:rFonts w:ascii="Times New Roman" w:hAnsi="Times New Roman" w:cs="Times New Roman"/>
        </w:rPr>
        <w:t xml:space="preserve">по отношению к аналогичному этапу лечения группы 3 (критерий  </w:t>
      </w:r>
      <w:proofErr w:type="gramEnd"/>
    </w:p>
    <w:p w:rsidR="00862CD8" w:rsidRPr="007C52C1" w:rsidRDefault="00862CD8" w:rsidP="00862C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52C1">
        <w:rPr>
          <w:rFonts w:ascii="Times New Roman" w:hAnsi="Times New Roman" w:cs="Times New Roman"/>
        </w:rPr>
        <w:t xml:space="preserve">           </w:t>
      </w:r>
      <w:proofErr w:type="gramStart"/>
      <w:r w:rsidRPr="007C52C1">
        <w:rPr>
          <w:rFonts w:ascii="Times New Roman" w:hAnsi="Times New Roman" w:cs="Times New Roman"/>
        </w:rPr>
        <w:t xml:space="preserve">Манна-Уитни);  </w:t>
      </w:r>
      <w:r w:rsidRPr="007C52C1">
        <w:rPr>
          <w:rFonts w:ascii="Times New Roman" w:eastAsia="Times New Roman" w:hAnsi="Times New Roman" w:cs="Times New Roman"/>
        </w:rPr>
        <w:t xml:space="preserve">выделенный жирным шрифтом </w:t>
      </w:r>
      <w:r w:rsidRPr="007C52C1">
        <w:rPr>
          <w:rFonts w:ascii="Times New Roman" w:eastAsia="Times New Roman" w:hAnsi="Times New Roman" w:cs="Times New Roman"/>
          <w:i/>
          <w:lang w:val="en-US"/>
        </w:rPr>
        <w:t>p</w:t>
      </w:r>
      <w:r w:rsidRPr="007C52C1">
        <w:rPr>
          <w:rFonts w:ascii="Times New Roman" w:eastAsia="Times New Roman" w:hAnsi="Times New Roman" w:cs="Times New Roman"/>
        </w:rPr>
        <w:t xml:space="preserve"> – различие достоверно.</w:t>
      </w:r>
      <w:proofErr w:type="gramEnd"/>
    </w:p>
    <w:p w:rsidR="00862CD8" w:rsidRPr="007C52C1" w:rsidRDefault="00862CD8" w:rsidP="007C52C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62CD8" w:rsidRPr="00EB3111" w:rsidRDefault="00862CD8" w:rsidP="00EB31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представленные результаты демонстрируют, что среди всех методов ЭОК максимальной эффективностью по элиминации воспалительных цитокинов имеет </w:t>
      </w:r>
      <w:proofErr w:type="spellStart"/>
      <w:r w:rsidRPr="00EB3111">
        <w:rPr>
          <w:rFonts w:ascii="Times New Roman" w:hAnsi="Times New Roman" w:cs="Times New Roman"/>
          <w:color w:val="000000"/>
          <w:sz w:val="28"/>
          <w:szCs w:val="28"/>
        </w:rPr>
        <w:t>антипротеиназная</w:t>
      </w:r>
      <w:proofErr w:type="spellEnd"/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111">
        <w:rPr>
          <w:rFonts w:ascii="Times New Roman" w:hAnsi="Times New Roman" w:cs="Times New Roman"/>
          <w:color w:val="000000"/>
          <w:sz w:val="28"/>
          <w:szCs w:val="28"/>
        </w:rPr>
        <w:t>гемоперфузия</w:t>
      </w:r>
      <w:proofErr w:type="spellEnd"/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. Возможным механизмом действия </w:t>
      </w:r>
      <w:proofErr w:type="spellStart"/>
      <w:r w:rsidRPr="00EB3111">
        <w:rPr>
          <w:rFonts w:ascii="Times New Roman" w:hAnsi="Times New Roman" w:cs="Times New Roman"/>
          <w:color w:val="000000"/>
          <w:sz w:val="28"/>
          <w:szCs w:val="28"/>
        </w:rPr>
        <w:t>гемосорбента</w:t>
      </w:r>
      <w:proofErr w:type="spellEnd"/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связывание не только </w:t>
      </w:r>
      <w:proofErr w:type="spellStart"/>
      <w:r w:rsidRPr="00EB3111">
        <w:rPr>
          <w:rFonts w:ascii="Times New Roman" w:hAnsi="Times New Roman" w:cs="Times New Roman"/>
          <w:color w:val="000000"/>
          <w:sz w:val="28"/>
          <w:szCs w:val="28"/>
        </w:rPr>
        <w:t>протеиназ</w:t>
      </w:r>
      <w:proofErr w:type="spellEnd"/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, но и при аномально высоких концентрациях цитокинов, адсорбции последних </w:t>
      </w:r>
      <w:proofErr w:type="spellStart"/>
      <w:r w:rsidRPr="00EB3111">
        <w:rPr>
          <w:rFonts w:ascii="Times New Roman" w:hAnsi="Times New Roman" w:cs="Times New Roman"/>
          <w:color w:val="000000"/>
          <w:sz w:val="28"/>
          <w:szCs w:val="28"/>
        </w:rPr>
        <w:t>овомукоидом</w:t>
      </w:r>
      <w:proofErr w:type="spellEnd"/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через поры, имеющиеся в полиакриламидном геле.   </w:t>
      </w:r>
    </w:p>
    <w:p w:rsidR="00EB3111" w:rsidRDefault="00EB3111" w:rsidP="00EB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CD8" w:rsidRPr="00EB3111" w:rsidRDefault="00862CD8" w:rsidP="00EB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11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EB3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CD8" w:rsidRPr="00EB3111" w:rsidRDefault="00862CD8" w:rsidP="00BC6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11">
        <w:rPr>
          <w:rFonts w:ascii="Times New Roman" w:hAnsi="Times New Roman" w:cs="Times New Roman"/>
          <w:sz w:val="28"/>
          <w:szCs w:val="28"/>
        </w:rPr>
        <w:t xml:space="preserve">     1. Методы </w:t>
      </w:r>
      <w:r w:rsidR="002361D5" w:rsidRPr="00EB3111">
        <w:rPr>
          <w:rFonts w:ascii="Times New Roman" w:hAnsi="Times New Roman" w:cs="Times New Roman"/>
          <w:sz w:val="28"/>
          <w:szCs w:val="28"/>
        </w:rPr>
        <w:t>ЭОК</w:t>
      </w:r>
      <w:r w:rsidRPr="00EB3111">
        <w:rPr>
          <w:rFonts w:ascii="Times New Roman" w:hAnsi="Times New Roman" w:cs="Times New Roman"/>
          <w:sz w:val="28"/>
          <w:szCs w:val="28"/>
        </w:rPr>
        <w:t xml:space="preserve"> в комплексе интенсивной терапии сепсиса позволяют элиминировать из крови избыток воспалительных медиаторов, высокие концентрации которых </w:t>
      </w:r>
      <w:proofErr w:type="spellStart"/>
      <w:r w:rsidRPr="00EB3111">
        <w:rPr>
          <w:rFonts w:ascii="Times New Roman" w:hAnsi="Times New Roman" w:cs="Times New Roman"/>
          <w:sz w:val="28"/>
          <w:szCs w:val="28"/>
        </w:rPr>
        <w:t>прогностически</w:t>
      </w:r>
      <w:proofErr w:type="spellEnd"/>
      <w:r w:rsidRPr="00EB3111">
        <w:rPr>
          <w:rFonts w:ascii="Times New Roman" w:hAnsi="Times New Roman" w:cs="Times New Roman"/>
          <w:sz w:val="28"/>
          <w:szCs w:val="28"/>
        </w:rPr>
        <w:t xml:space="preserve"> неблагоприятны. </w:t>
      </w:r>
    </w:p>
    <w:p w:rsidR="00862CD8" w:rsidRPr="00EB3111" w:rsidRDefault="00862CD8" w:rsidP="00BC6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111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spellStart"/>
      <w:r w:rsidR="002361D5" w:rsidRPr="00EB3111">
        <w:rPr>
          <w:rFonts w:ascii="Times New Roman" w:hAnsi="Times New Roman" w:cs="Times New Roman"/>
          <w:sz w:val="28"/>
          <w:szCs w:val="28"/>
        </w:rPr>
        <w:t>А</w:t>
      </w:r>
      <w:r w:rsidRPr="00EB3111">
        <w:rPr>
          <w:rFonts w:ascii="Times New Roman" w:hAnsi="Times New Roman" w:cs="Times New Roman"/>
          <w:sz w:val="28"/>
          <w:szCs w:val="28"/>
        </w:rPr>
        <w:t>нтипротеиназная</w:t>
      </w:r>
      <w:proofErr w:type="spellEnd"/>
      <w:r w:rsidRPr="00EB3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111">
        <w:rPr>
          <w:rFonts w:ascii="Times New Roman" w:hAnsi="Times New Roman" w:cs="Times New Roman"/>
          <w:sz w:val="28"/>
          <w:szCs w:val="28"/>
        </w:rPr>
        <w:t>гемоперфузия</w:t>
      </w:r>
      <w:proofErr w:type="spellEnd"/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приводит к наиболее эффективному снижению избытка уровня </w:t>
      </w:r>
      <w:proofErr w:type="gramStart"/>
      <w:r w:rsidRPr="00EB3111">
        <w:rPr>
          <w:rFonts w:ascii="Times New Roman" w:hAnsi="Times New Roman" w:cs="Times New Roman"/>
          <w:color w:val="000000"/>
          <w:sz w:val="28"/>
          <w:szCs w:val="28"/>
        </w:rPr>
        <w:t>воспалительных</w:t>
      </w:r>
      <w:proofErr w:type="gramEnd"/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цитокинов в крови. </w:t>
      </w:r>
    </w:p>
    <w:p w:rsidR="00862CD8" w:rsidRPr="00EB3111" w:rsidRDefault="00862CD8" w:rsidP="00BC6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     3. Использование МОК приводит к усилению процессов элиминации воспалительных цитокинов с помощью </w:t>
      </w:r>
      <w:proofErr w:type="spellStart"/>
      <w:r w:rsidRPr="00EB3111">
        <w:rPr>
          <w:rFonts w:ascii="Times New Roman" w:hAnsi="Times New Roman" w:cs="Times New Roman"/>
          <w:color w:val="000000"/>
          <w:sz w:val="28"/>
          <w:szCs w:val="28"/>
        </w:rPr>
        <w:t>гемосорбции</w:t>
      </w:r>
      <w:proofErr w:type="spellEnd"/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, в результате чего фиксируются максимально низкие показатели </w:t>
      </w:r>
      <w:r w:rsidRPr="00EB3111">
        <w:rPr>
          <w:rFonts w:ascii="Times New Roman" w:hAnsi="Times New Roman" w:cs="Times New Roman"/>
          <w:color w:val="000000"/>
          <w:sz w:val="28"/>
          <w:szCs w:val="28"/>
          <w:lang w:val="en-US"/>
        </w:rPr>
        <w:t>TNFα</w:t>
      </w:r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B3111">
        <w:rPr>
          <w:rFonts w:ascii="Times New Roman" w:hAnsi="Times New Roman" w:cs="Times New Roman"/>
          <w:color w:val="000000"/>
          <w:sz w:val="28"/>
          <w:szCs w:val="28"/>
          <w:lang w:val="en-US"/>
        </w:rPr>
        <w:t>IL</w:t>
      </w:r>
      <w:r w:rsidRPr="00EB3111">
        <w:rPr>
          <w:rFonts w:ascii="Times New Roman" w:hAnsi="Times New Roman" w:cs="Times New Roman"/>
          <w:color w:val="000000"/>
          <w:sz w:val="28"/>
          <w:szCs w:val="28"/>
        </w:rPr>
        <w:t xml:space="preserve">-6 в процессе проведения очищения крови на этапах исследования.   </w:t>
      </w:r>
    </w:p>
    <w:p w:rsidR="00EB3111" w:rsidRDefault="00EB3111" w:rsidP="00EB311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B3111" w:rsidRDefault="00EB3111" w:rsidP="00EB311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85296" w:rsidRPr="00EB3111" w:rsidRDefault="008C4B9D" w:rsidP="00EB311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3111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2361D5" w:rsidRPr="00EB3111" w:rsidRDefault="00373411" w:rsidP="002361D5">
      <w:pPr>
        <w:pStyle w:val="HTML"/>
        <w:numPr>
          <w:ilvl w:val="0"/>
          <w:numId w:val="1"/>
        </w:numPr>
        <w:tabs>
          <w:tab w:val="clear" w:pos="916"/>
          <w:tab w:val="left" w:pos="284"/>
        </w:tabs>
        <w:ind w:left="28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7" w:history="1">
        <w:proofErr w:type="spellStart"/>
        <w:r w:rsidR="002361D5"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Fujishima</w:t>
        </w:r>
        <w:proofErr w:type="spellEnd"/>
        <w:r w:rsidR="002361D5"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, S</w:t>
        </w:r>
      </w:hyperlink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>. A multicenter, prospective evaluation of quality of care and</w:t>
      </w:r>
      <w:r w:rsidR="002361D5" w:rsidRPr="00EB31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2361D5" w:rsidRPr="00EB3111">
        <w:rPr>
          <w:rStyle w:val="highlight"/>
          <w:rFonts w:ascii="Times New Roman" w:hAnsi="Times New Roman"/>
          <w:color w:val="000000"/>
          <w:sz w:val="28"/>
          <w:szCs w:val="28"/>
          <w:lang w:val="en-US"/>
        </w:rPr>
        <w:t>mortality</w:t>
      </w:r>
      <w:r w:rsidR="002361D5" w:rsidRPr="00EB31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>in Japan based on the</w:t>
      </w:r>
      <w:r w:rsidR="002361D5" w:rsidRPr="00EB31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2361D5" w:rsidRPr="00EB3111">
        <w:rPr>
          <w:rStyle w:val="highlight"/>
          <w:rFonts w:ascii="Times New Roman" w:hAnsi="Times New Roman"/>
          <w:color w:val="000000"/>
          <w:sz w:val="28"/>
          <w:szCs w:val="28"/>
          <w:lang w:val="en-US"/>
        </w:rPr>
        <w:t>Surviving</w:t>
      </w:r>
      <w:r w:rsidR="002361D5" w:rsidRPr="00EB31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2361D5" w:rsidRPr="00EB3111">
        <w:rPr>
          <w:rStyle w:val="highlight"/>
          <w:rFonts w:ascii="Times New Roman" w:hAnsi="Times New Roman"/>
          <w:color w:val="000000"/>
          <w:sz w:val="28"/>
          <w:szCs w:val="28"/>
          <w:lang w:val="en-US"/>
        </w:rPr>
        <w:t xml:space="preserve">Sepsis </w:t>
      </w:r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Campaign guidelines / S </w:t>
      </w:r>
      <w:hyperlink r:id="rId8" w:history="1">
        <w:proofErr w:type="spellStart"/>
        <w:r w:rsidR="002361D5"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Fujishima</w:t>
        </w:r>
        <w:proofErr w:type="spellEnd"/>
      </w:hyperlink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 w:rsidR="002361D5" w:rsidRPr="00EB31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 xml:space="preserve"> S. </w:t>
      </w:r>
      <w:hyperlink r:id="rId9" w:history="1">
        <w:proofErr w:type="spellStart"/>
        <w:r w:rsidR="002361D5"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Gando</w:t>
        </w:r>
        <w:proofErr w:type="spellEnd"/>
      </w:hyperlink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 w:rsidR="002361D5" w:rsidRPr="00EB31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 xml:space="preserve"> D. </w:t>
      </w:r>
      <w:hyperlink r:id="rId10" w:history="1">
        <w:proofErr w:type="spellStart"/>
        <w:r w:rsidR="002361D5"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Saitoh</w:t>
        </w:r>
        <w:proofErr w:type="spellEnd"/>
      </w:hyperlink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 // </w:t>
      </w:r>
      <w:hyperlink r:id="rId11" w:tooltip="Journal of infection and chemotherapy : official journal of the Japan Society of Chemotherapy." w:history="1">
        <w:r w:rsidR="002361D5"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 xml:space="preserve">J Infect. </w:t>
        </w:r>
        <w:proofErr w:type="spellStart"/>
        <w:r w:rsidR="002361D5"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Chemother</w:t>
        </w:r>
        <w:proofErr w:type="spellEnd"/>
        <w:r w:rsidR="002361D5"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.</w:t>
        </w:r>
      </w:hyperlink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2361D5" w:rsidRPr="00EB3111">
        <w:rPr>
          <w:rFonts w:ascii="Times New Roman" w:hAnsi="Times New Roman"/>
          <w:color w:val="000000"/>
          <w:sz w:val="28"/>
          <w:szCs w:val="28"/>
          <w:lang w:val="nl-NL"/>
        </w:rPr>
        <w:t>–</w:t>
      </w:r>
      <w:r w:rsidR="002361D5" w:rsidRPr="00EB31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2014. </w:t>
      </w:r>
      <w:r w:rsidR="002361D5" w:rsidRPr="00EB3111">
        <w:rPr>
          <w:rFonts w:ascii="Times New Roman" w:hAnsi="Times New Roman"/>
          <w:color w:val="000000"/>
          <w:sz w:val="28"/>
          <w:szCs w:val="28"/>
          <w:lang w:val="nl-NL"/>
        </w:rPr>
        <w:t>–</w:t>
      </w:r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 Vol. 20, </w:t>
      </w:r>
      <w:r w:rsidR="002361D5" w:rsidRPr="00EB3111">
        <w:rPr>
          <w:rFonts w:ascii="Times New Roman" w:hAnsi="Times New Roman"/>
          <w:color w:val="000000"/>
          <w:sz w:val="28"/>
          <w:szCs w:val="28"/>
          <w:lang w:val="nl-NL"/>
        </w:rPr>
        <w:t>№</w:t>
      </w:r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 2.</w:t>
      </w:r>
      <w:r w:rsidR="002361D5" w:rsidRPr="00EB3111">
        <w:rPr>
          <w:rFonts w:ascii="Times New Roman" w:hAnsi="Times New Roman"/>
          <w:color w:val="000000"/>
          <w:sz w:val="28"/>
          <w:szCs w:val="28"/>
          <w:lang w:val="nl-NL"/>
        </w:rPr>
        <w:t xml:space="preserve"> –</w:t>
      </w:r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> P. 115</w:t>
      </w:r>
      <w:r w:rsidR="002361D5" w:rsidRPr="00EB3111">
        <w:rPr>
          <w:rFonts w:ascii="Times New Roman" w:hAnsi="Times New Roman"/>
          <w:color w:val="000000"/>
          <w:sz w:val="28"/>
          <w:szCs w:val="28"/>
          <w:lang w:val="nl-NL"/>
        </w:rPr>
        <w:t>–</w:t>
      </w:r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>120.</w:t>
      </w:r>
    </w:p>
    <w:p w:rsidR="002361D5" w:rsidRPr="00EB3111" w:rsidRDefault="00373411" w:rsidP="002361D5">
      <w:pPr>
        <w:pStyle w:val="HTML"/>
        <w:numPr>
          <w:ilvl w:val="0"/>
          <w:numId w:val="1"/>
        </w:numPr>
        <w:tabs>
          <w:tab w:val="clear" w:pos="916"/>
          <w:tab w:val="left" w:pos="284"/>
        </w:tabs>
        <w:ind w:left="28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12" w:history="1">
        <w:r w:rsidR="002361D5"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Gentile</w:t>
        </w:r>
      </w:hyperlink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, L. F. Persistent inflammation and immunosuppression : A common syndrome and new horizon for surgical intensive care / L. F. </w:t>
      </w:r>
      <w:hyperlink r:id="rId13" w:history="1">
        <w:r w:rsidR="002361D5"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Gentile</w:t>
        </w:r>
      </w:hyperlink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, A. G. </w:t>
      </w:r>
      <w:hyperlink r:id="rId14" w:history="1">
        <w:r w:rsidR="002361D5"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Cuenca</w:t>
        </w:r>
      </w:hyperlink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, P. P. </w:t>
      </w:r>
      <w:hyperlink r:id="rId15" w:history="1">
        <w:proofErr w:type="spellStart"/>
        <w:r w:rsidR="002361D5"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Efron</w:t>
        </w:r>
        <w:proofErr w:type="spellEnd"/>
      </w:hyperlink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 // </w:t>
      </w:r>
      <w:hyperlink r:id="rId16" w:tgtFrame="pmc_ext" w:history="1">
        <w:r w:rsidR="002361D5" w:rsidRPr="00EB3111">
          <w:rPr>
            <w:rStyle w:val="cit"/>
            <w:rFonts w:ascii="Times New Roman" w:hAnsi="Times New Roman"/>
            <w:color w:val="000000"/>
            <w:sz w:val="28"/>
            <w:szCs w:val="28"/>
            <w:lang w:val="en-US"/>
          </w:rPr>
          <w:t xml:space="preserve">J. Trauma Acute Care Surg. </w:t>
        </w:r>
        <w:r w:rsidR="002361D5" w:rsidRPr="00EB3111">
          <w:rPr>
            <w:rFonts w:ascii="Times New Roman" w:hAnsi="Times New Roman"/>
            <w:color w:val="000000"/>
            <w:sz w:val="28"/>
            <w:szCs w:val="28"/>
            <w:lang w:val="en-US"/>
          </w:rPr>
          <w:t>–</w:t>
        </w:r>
        <w:r w:rsidR="002361D5" w:rsidRPr="00EB3111">
          <w:rPr>
            <w:rStyle w:val="cit"/>
            <w:rFonts w:ascii="Times New Roman" w:hAnsi="Times New Roman"/>
            <w:color w:val="000000"/>
            <w:sz w:val="28"/>
            <w:szCs w:val="28"/>
            <w:lang w:val="en-US"/>
          </w:rPr>
          <w:t xml:space="preserve"> 2012. </w:t>
        </w:r>
        <w:r w:rsidR="002361D5" w:rsidRPr="00EB3111">
          <w:rPr>
            <w:rFonts w:ascii="Times New Roman" w:hAnsi="Times New Roman"/>
            <w:color w:val="000000"/>
            <w:sz w:val="28"/>
            <w:szCs w:val="28"/>
            <w:lang w:val="en-US"/>
          </w:rPr>
          <w:t>– </w:t>
        </w:r>
        <w:r w:rsidR="002361D5" w:rsidRPr="00EB3111">
          <w:rPr>
            <w:rStyle w:val="cit"/>
            <w:rFonts w:ascii="Times New Roman" w:hAnsi="Times New Roman"/>
            <w:color w:val="000000"/>
            <w:sz w:val="28"/>
            <w:szCs w:val="28"/>
            <w:lang w:val="en-US"/>
          </w:rPr>
          <w:t xml:space="preserve">Vol. 72, </w:t>
        </w:r>
        <w:r w:rsidR="002361D5" w:rsidRPr="00EB3111">
          <w:rPr>
            <w:rFonts w:ascii="Times New Roman" w:hAnsi="Times New Roman"/>
            <w:color w:val="000000"/>
            <w:sz w:val="28"/>
            <w:szCs w:val="28"/>
            <w:lang w:val="en-US"/>
          </w:rPr>
          <w:t>№</w:t>
        </w:r>
        <w:r w:rsidR="002361D5" w:rsidRPr="00EB3111">
          <w:rPr>
            <w:rStyle w:val="cit"/>
            <w:rFonts w:ascii="Times New Roman" w:hAnsi="Times New Roman"/>
            <w:color w:val="000000"/>
            <w:sz w:val="28"/>
            <w:szCs w:val="28"/>
            <w:lang w:val="en-US"/>
          </w:rPr>
          <w:t xml:space="preserve"> 6. </w:t>
        </w:r>
        <w:r w:rsidR="002361D5" w:rsidRPr="00EB3111">
          <w:rPr>
            <w:rFonts w:ascii="Times New Roman" w:hAnsi="Times New Roman"/>
            <w:color w:val="000000"/>
            <w:sz w:val="28"/>
            <w:szCs w:val="28"/>
            <w:lang w:val="en-US"/>
          </w:rPr>
          <w:t>–</w:t>
        </w:r>
        <w:r w:rsidR="002361D5" w:rsidRPr="00EB3111">
          <w:rPr>
            <w:rStyle w:val="cit"/>
            <w:rFonts w:ascii="Times New Roman" w:hAnsi="Times New Roman"/>
            <w:color w:val="000000"/>
            <w:sz w:val="28"/>
            <w:szCs w:val="28"/>
            <w:lang w:val="en-US"/>
          </w:rPr>
          <w:t> P. 1491–1501.</w:t>
        </w:r>
      </w:hyperlink>
    </w:p>
    <w:p w:rsidR="002361D5" w:rsidRPr="00EB3111" w:rsidRDefault="002361D5" w:rsidP="002361D5">
      <w:pPr>
        <w:pStyle w:val="HTML"/>
        <w:numPr>
          <w:ilvl w:val="0"/>
          <w:numId w:val="1"/>
        </w:numPr>
        <w:tabs>
          <w:tab w:val="clear" w:pos="916"/>
          <w:tab w:val="left" w:pos="284"/>
        </w:tabs>
        <w:ind w:left="28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EB3111">
        <w:rPr>
          <w:rFonts w:ascii="Times New Roman" w:hAnsi="Times New Roman"/>
          <w:color w:val="000000"/>
          <w:sz w:val="28"/>
          <w:szCs w:val="28"/>
          <w:lang w:val="en-US"/>
        </w:rPr>
        <w:t>Panagiotou</w:t>
      </w:r>
      <w:proofErr w:type="spellEnd"/>
      <w:r w:rsidRPr="00EB3111">
        <w:rPr>
          <w:rStyle w:val="highlight"/>
          <w:rFonts w:ascii="Times New Roman" w:hAnsi="Times New Roman"/>
          <w:color w:val="000000"/>
          <w:sz w:val="28"/>
          <w:szCs w:val="28"/>
          <w:lang w:val="en-US"/>
        </w:rPr>
        <w:t>, A. Extracorporeal</w:t>
      </w:r>
      <w:r w:rsidRPr="00EB31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 xml:space="preserve"> T</w:t>
      </w:r>
      <w:r w:rsidRPr="00EB3111">
        <w:rPr>
          <w:rFonts w:ascii="Times New Roman" w:hAnsi="Times New Roman"/>
          <w:color w:val="000000"/>
          <w:sz w:val="28"/>
          <w:szCs w:val="28"/>
          <w:lang w:val="en-US"/>
        </w:rPr>
        <w:t>herapies in</w:t>
      </w:r>
      <w:r w:rsidRPr="00EB31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 xml:space="preserve"> S</w:t>
      </w:r>
      <w:r w:rsidRPr="00EB3111">
        <w:rPr>
          <w:rStyle w:val="highlight"/>
          <w:rFonts w:ascii="Times New Roman" w:hAnsi="Times New Roman"/>
          <w:color w:val="000000"/>
          <w:sz w:val="28"/>
          <w:szCs w:val="28"/>
          <w:lang w:val="en-US"/>
        </w:rPr>
        <w:t>epsis /</w:t>
      </w:r>
      <w:r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 A. </w:t>
      </w:r>
      <w:hyperlink r:id="rId17" w:history="1">
        <w:proofErr w:type="spellStart"/>
        <w:r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Panagiotou</w:t>
        </w:r>
        <w:proofErr w:type="spellEnd"/>
      </w:hyperlink>
      <w:r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 [et al.] // </w:t>
      </w:r>
      <w:hyperlink r:id="rId18" w:tooltip="Journal of intensive care medicine." w:history="1">
        <w:r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J. Intensive Care Med.</w:t>
        </w:r>
      </w:hyperlink>
      <w:r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 ‒</w:t>
      </w:r>
      <w:r w:rsidRPr="00EB31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2013. ‒ Vol. 28, </w:t>
      </w:r>
      <w:r w:rsidRPr="00EB3111">
        <w:rPr>
          <w:rFonts w:ascii="Times New Roman" w:hAnsi="Times New Roman"/>
          <w:color w:val="000000"/>
          <w:sz w:val="28"/>
          <w:szCs w:val="28"/>
        </w:rPr>
        <w:t>№</w:t>
      </w:r>
      <w:r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 5. ‒ P. 281‒295.</w:t>
      </w:r>
    </w:p>
    <w:p w:rsidR="002361D5" w:rsidRPr="00EB3111" w:rsidRDefault="00373411" w:rsidP="002361D5">
      <w:pPr>
        <w:pStyle w:val="HTML"/>
        <w:numPr>
          <w:ilvl w:val="0"/>
          <w:numId w:val="1"/>
        </w:numPr>
        <w:tabs>
          <w:tab w:val="clear" w:pos="916"/>
          <w:tab w:val="left" w:pos="284"/>
        </w:tabs>
        <w:ind w:left="28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19" w:history="1">
        <w:proofErr w:type="spellStart"/>
        <w:r w:rsidR="002361D5"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Peng</w:t>
        </w:r>
        <w:proofErr w:type="spellEnd"/>
      </w:hyperlink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>, Z. Blood</w:t>
      </w:r>
      <w:r w:rsidR="002361D5" w:rsidRPr="00EB31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2361D5" w:rsidRPr="00EB3111">
        <w:rPr>
          <w:rStyle w:val="highlight"/>
          <w:rFonts w:ascii="Times New Roman" w:hAnsi="Times New Roman"/>
          <w:color w:val="000000"/>
          <w:sz w:val="28"/>
          <w:szCs w:val="28"/>
          <w:lang w:val="en-US"/>
        </w:rPr>
        <w:t xml:space="preserve">purification </w:t>
      </w:r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>in</w:t>
      </w:r>
      <w:r w:rsidR="002361D5" w:rsidRPr="00EB31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2361D5" w:rsidRPr="00EB3111">
        <w:rPr>
          <w:rStyle w:val="highlight"/>
          <w:rFonts w:ascii="Times New Roman" w:hAnsi="Times New Roman"/>
          <w:color w:val="000000"/>
          <w:sz w:val="28"/>
          <w:szCs w:val="28"/>
          <w:lang w:val="en-US"/>
        </w:rPr>
        <w:t xml:space="preserve">sepsis </w:t>
      </w:r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>:</w:t>
      </w:r>
      <w:proofErr w:type="gramEnd"/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 a new paradigm. / Z. </w:t>
      </w:r>
      <w:hyperlink r:id="rId20" w:history="1">
        <w:proofErr w:type="spellStart"/>
        <w:r w:rsidR="002361D5"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Peng</w:t>
        </w:r>
        <w:proofErr w:type="spellEnd"/>
      </w:hyperlink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 // </w:t>
      </w:r>
      <w:hyperlink r:id="rId21" w:tooltip="Contributions to nephrology." w:history="1">
        <w:r w:rsidR="002361D5"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 xml:space="preserve">Contrib. </w:t>
        </w:r>
        <w:proofErr w:type="spellStart"/>
        <w:r w:rsidR="002361D5"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Nephrol</w:t>
        </w:r>
        <w:proofErr w:type="spellEnd"/>
        <w:r w:rsidR="002361D5"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.</w:t>
        </w:r>
      </w:hyperlink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 –</w:t>
      </w:r>
      <w:r w:rsidR="002361D5" w:rsidRPr="00EB3111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2361D5" w:rsidRPr="00EB3111">
        <w:rPr>
          <w:rFonts w:ascii="Times New Roman" w:hAnsi="Times New Roman"/>
          <w:color w:val="000000"/>
          <w:sz w:val="28"/>
          <w:szCs w:val="28"/>
          <w:lang w:val="en-US"/>
        </w:rPr>
        <w:t>2010. – Vol. 165. – P. 322 –328.</w:t>
      </w:r>
    </w:p>
    <w:p w:rsidR="003A554B" w:rsidRPr="00EB3111" w:rsidRDefault="003A554B" w:rsidP="002361D5">
      <w:pPr>
        <w:pStyle w:val="HTML"/>
        <w:numPr>
          <w:ilvl w:val="0"/>
          <w:numId w:val="1"/>
        </w:numPr>
        <w:tabs>
          <w:tab w:val="clear" w:pos="916"/>
          <w:tab w:val="left" w:pos="284"/>
        </w:tabs>
        <w:ind w:left="28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Rhodes, A. </w:t>
      </w:r>
      <w:hyperlink r:id="rId22" w:history="1">
        <w:r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Surviving</w:t>
        </w:r>
        <w:r w:rsidRPr="00EB3111">
          <w:rPr>
            <w:rStyle w:val="apple-converted-space"/>
            <w:rFonts w:ascii="Times New Roman" w:hAnsi="Times New Roman"/>
            <w:color w:val="000000"/>
            <w:sz w:val="28"/>
            <w:szCs w:val="28"/>
            <w:lang w:val="en-US"/>
          </w:rPr>
          <w:t xml:space="preserve"> </w:t>
        </w:r>
        <w:r w:rsidRPr="00EB3111">
          <w:rPr>
            <w:rStyle w:val="a5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Sepsis</w:t>
        </w:r>
        <w:r w:rsidRPr="00EB3111">
          <w:rPr>
            <w:rStyle w:val="apple-converted-space"/>
            <w:rFonts w:ascii="Times New Roman" w:hAnsi="Times New Roman"/>
            <w:color w:val="000000"/>
            <w:sz w:val="28"/>
            <w:szCs w:val="28"/>
            <w:lang w:val="en-US"/>
          </w:rPr>
          <w:t xml:space="preserve"> </w:t>
        </w:r>
        <w:proofErr w:type="gramStart"/>
        <w:r w:rsidRPr="00EB3111">
          <w:rPr>
            <w:rStyle w:val="a5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Campaign  </w:t>
        </w:r>
        <w:r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:</w:t>
        </w:r>
        <w:proofErr w:type="gramEnd"/>
        <w:r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 xml:space="preserve"> International Guidelines for Management of </w:t>
        </w:r>
        <w:r w:rsidRPr="00EB3111">
          <w:rPr>
            <w:rStyle w:val="a5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Sepsis</w:t>
        </w:r>
        <w:r w:rsidRPr="00EB3111">
          <w:rPr>
            <w:rStyle w:val="apple-converted-space"/>
            <w:rFonts w:ascii="Times New Roman" w:hAnsi="Times New Roman"/>
            <w:color w:val="000000"/>
            <w:sz w:val="28"/>
            <w:szCs w:val="28"/>
            <w:lang w:val="en-US"/>
          </w:rPr>
          <w:t xml:space="preserve"> </w:t>
        </w:r>
        <w:r w:rsidRPr="00EB311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and Septic Shock :</w:t>
        </w:r>
        <w:r w:rsidRPr="00EB3111">
          <w:rPr>
            <w:rStyle w:val="apple-converted-space"/>
            <w:rFonts w:ascii="Times New Roman" w:hAnsi="Times New Roman"/>
            <w:color w:val="000000"/>
            <w:sz w:val="28"/>
            <w:szCs w:val="28"/>
            <w:lang w:val="en-US"/>
          </w:rPr>
          <w:t xml:space="preserve"> </w:t>
        </w:r>
        <w:r w:rsidRPr="00EB3111">
          <w:rPr>
            <w:rStyle w:val="a5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2016</w:t>
        </w:r>
      </w:hyperlink>
      <w:r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 / A. Rhodes, L. E. Evans, W. </w:t>
      </w:r>
      <w:proofErr w:type="spellStart"/>
      <w:r w:rsidRPr="00EB3111">
        <w:rPr>
          <w:rFonts w:ascii="Times New Roman" w:hAnsi="Times New Roman"/>
          <w:color w:val="000000"/>
          <w:sz w:val="28"/>
          <w:szCs w:val="28"/>
          <w:lang w:val="en-US"/>
        </w:rPr>
        <w:t>Alhazzani</w:t>
      </w:r>
      <w:proofErr w:type="spellEnd"/>
      <w:r w:rsidRPr="00EB3111">
        <w:rPr>
          <w:rFonts w:ascii="Times New Roman" w:hAnsi="Times New Roman"/>
          <w:color w:val="000000"/>
          <w:sz w:val="28"/>
          <w:szCs w:val="28"/>
          <w:lang w:val="en-US"/>
        </w:rPr>
        <w:t xml:space="preserve"> // </w:t>
      </w:r>
      <w:r w:rsidRPr="00EB3111">
        <w:rPr>
          <w:rStyle w:val="jrnl"/>
          <w:rFonts w:ascii="Times New Roman" w:hAnsi="Times New Roman"/>
          <w:color w:val="000000"/>
          <w:sz w:val="28"/>
          <w:szCs w:val="28"/>
          <w:lang w:val="en-US"/>
        </w:rPr>
        <w:t>Intensive Care Med</w:t>
      </w:r>
      <w:r w:rsidRPr="00EB3111">
        <w:rPr>
          <w:rFonts w:ascii="Times New Roman" w:hAnsi="Times New Roman"/>
          <w:color w:val="000000"/>
          <w:sz w:val="28"/>
          <w:szCs w:val="28"/>
          <w:lang w:val="en-US"/>
        </w:rPr>
        <w:t>. ‒ 2017</w:t>
      </w:r>
      <w:r w:rsidRPr="00EB3111">
        <w:rPr>
          <w:rFonts w:ascii="Times New Roman" w:hAnsi="Times New Roman"/>
          <w:color w:val="000000"/>
          <w:sz w:val="28"/>
          <w:szCs w:val="28"/>
        </w:rPr>
        <w:t xml:space="preserve">. ‒ № 43(3). </w:t>
      </w:r>
      <w:r w:rsidRPr="00EB3111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EB3111">
        <w:rPr>
          <w:rFonts w:ascii="Times New Roman" w:hAnsi="Times New Roman"/>
          <w:color w:val="000000"/>
          <w:sz w:val="28"/>
          <w:szCs w:val="28"/>
        </w:rPr>
        <w:t>. 304‒377.</w:t>
      </w:r>
    </w:p>
    <w:sectPr w:rsidR="003A554B" w:rsidRPr="00EB3111" w:rsidSect="00E8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4889"/>
    <w:multiLevelType w:val="hybridMultilevel"/>
    <w:tmpl w:val="CCE04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5F52C9"/>
    <w:multiLevelType w:val="hybridMultilevel"/>
    <w:tmpl w:val="754A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2CD8"/>
    <w:rsid w:val="000770B3"/>
    <w:rsid w:val="00231165"/>
    <w:rsid w:val="002361D5"/>
    <w:rsid w:val="002F28D6"/>
    <w:rsid w:val="00373411"/>
    <w:rsid w:val="00383536"/>
    <w:rsid w:val="003A554B"/>
    <w:rsid w:val="003B52BB"/>
    <w:rsid w:val="004B3298"/>
    <w:rsid w:val="007A4D80"/>
    <w:rsid w:val="007C52C1"/>
    <w:rsid w:val="00852F72"/>
    <w:rsid w:val="00862CD8"/>
    <w:rsid w:val="008C4B9D"/>
    <w:rsid w:val="00A21C3A"/>
    <w:rsid w:val="00BC6767"/>
    <w:rsid w:val="00E85296"/>
    <w:rsid w:val="00EB3111"/>
    <w:rsid w:val="00E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96"/>
  </w:style>
  <w:style w:type="paragraph" w:styleId="1">
    <w:name w:val="heading 1"/>
    <w:basedOn w:val="a"/>
    <w:link w:val="10"/>
    <w:qFormat/>
    <w:rsid w:val="008C4B9D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62CD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62CD8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rsid w:val="008C4B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4B9D"/>
  </w:style>
  <w:style w:type="character" w:customStyle="1" w:styleId="jrnl">
    <w:name w:val="jrnl"/>
    <w:basedOn w:val="a0"/>
    <w:rsid w:val="008C4B9D"/>
  </w:style>
  <w:style w:type="character" w:customStyle="1" w:styleId="10">
    <w:name w:val="Заголовок 1 Знак"/>
    <w:basedOn w:val="a0"/>
    <w:link w:val="1"/>
    <w:rsid w:val="008C4B9D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customStyle="1" w:styleId="highlight">
    <w:name w:val="highlight"/>
    <w:basedOn w:val="a0"/>
    <w:rsid w:val="008C4B9D"/>
  </w:style>
  <w:style w:type="character" w:customStyle="1" w:styleId="cit">
    <w:name w:val="cit"/>
    <w:basedOn w:val="a0"/>
    <w:rsid w:val="008C4B9D"/>
  </w:style>
  <w:style w:type="paragraph" w:styleId="a6">
    <w:name w:val="List Paragraph"/>
    <w:basedOn w:val="a"/>
    <w:uiPriority w:val="34"/>
    <w:qFormat/>
    <w:rsid w:val="003A554B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3A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A554B"/>
    <w:rPr>
      <w:rFonts w:ascii="Courier New" w:eastAsia="Times New Roman" w:hAnsi="Courier New" w:cs="Times New Roman"/>
      <w:sz w:val="20"/>
      <w:szCs w:val="20"/>
    </w:rPr>
  </w:style>
  <w:style w:type="table" w:styleId="a7">
    <w:name w:val="Table Grid"/>
    <w:basedOn w:val="a1"/>
    <w:uiPriority w:val="59"/>
    <w:rsid w:val="002F2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Fujishima%20S%5BAuthor%5D&amp;cauthor=true&amp;cauthor_uid=24462442" TargetMode="External"/><Relationship Id="rId13" Type="http://schemas.openxmlformats.org/officeDocument/2006/relationships/hyperlink" Target="http://www.ncbi.nlm.nih.gov/pubmed/?term=Gentile%20LF%5Bauth%5D" TargetMode="External"/><Relationship Id="rId18" Type="http://schemas.openxmlformats.org/officeDocument/2006/relationships/hyperlink" Target="http://www.ncbi.nlm.nih.gov/pubmed/2202776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/20427984" TargetMode="External"/><Relationship Id="rId7" Type="http://schemas.openxmlformats.org/officeDocument/2006/relationships/hyperlink" Target="http://www.ncbi.nlm.nih.gov/pubmed/?term=Fujishima%20S%5BAuthor%5D&amp;cauthor=true&amp;cauthor_uid=24462442" TargetMode="External"/><Relationship Id="rId12" Type="http://schemas.openxmlformats.org/officeDocument/2006/relationships/hyperlink" Target="http://www.ncbi.nlm.nih.gov/pubmed/?term=Gentile%20LF%5Bauth%5D" TargetMode="External"/><Relationship Id="rId17" Type="http://schemas.openxmlformats.org/officeDocument/2006/relationships/hyperlink" Target="http://www.ncbi.nlm.nih.gov/pubmed/?term=Panagiotou%20A%5BAuthor%5D&amp;cauthor=true&amp;cauthor_uid=220277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entrez/eutils/elink.fcgi?dbfrom=pubmed&amp;retmode=ref&amp;cmd=prlinks&amp;id=22695412" TargetMode="External"/><Relationship Id="rId20" Type="http://schemas.openxmlformats.org/officeDocument/2006/relationships/hyperlink" Target="http://www.ncbi.nlm.nih.gov/pubmed/?term=Peng%20Z%5BAuthor%5D&amp;cauthor=true&amp;cauthor_uid=2042798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bi.nlm.nih.gov/pubmed/2446244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ncbi.nlm.nih.gov/pubmed/?term=Efron%20PA%5Bauth%5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cbi.nlm.nih.gov/pubmed/?term=Saitoh%20D%5BAuthor%5D&amp;cauthor=true&amp;cauthor_uid=24462442" TargetMode="External"/><Relationship Id="rId19" Type="http://schemas.openxmlformats.org/officeDocument/2006/relationships/hyperlink" Target="http://www.ncbi.nlm.nih.gov/pubmed/?term=Peng%20Z%5BAuthor%5D&amp;cauthor=true&amp;cauthor_uid=204279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bi.nlm.nih.gov/pubmed/?term=Gando%20S%5BAuthor%5D&amp;cauthor=true&amp;cauthor_uid=24462442" TargetMode="External"/><Relationship Id="rId14" Type="http://schemas.openxmlformats.org/officeDocument/2006/relationships/hyperlink" Target="http://www.ncbi.nlm.nih.gov/pubmed/?term=Cuenca%20AG%5Bauth%5D" TargetMode="External"/><Relationship Id="rId22" Type="http://schemas.openxmlformats.org/officeDocument/2006/relationships/hyperlink" Target="https://www.ncbi.nlm.nih.gov/pubmed/281016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6EF76A5-BC0C-4DB0-BC33-27F8FEE0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Зав. отделением Экстракарпоральных методов</cp:lastModifiedBy>
  <cp:revision>17</cp:revision>
  <dcterms:created xsi:type="dcterms:W3CDTF">2017-04-10T06:46:00Z</dcterms:created>
  <dcterms:modified xsi:type="dcterms:W3CDTF">2017-08-15T07:12:00Z</dcterms:modified>
</cp:coreProperties>
</file>